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34D19" w:rsidRPr="005811A3" w:rsidRDefault="007F7E79" w:rsidP="00E2615D">
      <w:pPr>
        <w:tabs>
          <w:tab w:val="center" w:pos="4536"/>
          <w:tab w:val="right" w:pos="9639"/>
        </w:tabs>
        <w:spacing w:beforeLines="0" w:afterLines="0" w:line="240" w:lineRule="auto"/>
        <w:rPr>
          <w:b/>
          <w:bCs/>
          <w:sz w:val="22"/>
          <w:szCs w:val="22"/>
        </w:rPr>
      </w:pPr>
      <w:r w:rsidRPr="005811A3">
        <w:rPr>
          <w:b/>
          <w:bCs/>
          <w:sz w:val="22"/>
          <w:szCs w:val="22"/>
        </w:rPr>
        <w:t>3GPP TSG RAN WG1 #101-e</w:t>
      </w:r>
      <w:r w:rsidRPr="005811A3">
        <w:rPr>
          <w:b/>
          <w:bCs/>
          <w:sz w:val="22"/>
          <w:szCs w:val="22"/>
        </w:rPr>
        <w:tab/>
      </w:r>
      <w:r w:rsidRPr="005811A3">
        <w:rPr>
          <w:b/>
          <w:bCs/>
          <w:sz w:val="22"/>
          <w:szCs w:val="22"/>
        </w:rPr>
        <w:tab/>
        <w:t>R1-2003548</w:t>
      </w:r>
    </w:p>
    <w:p w:rsidR="00634D19" w:rsidRPr="005811A3" w:rsidRDefault="007F7E79" w:rsidP="005811A3">
      <w:pPr>
        <w:tabs>
          <w:tab w:val="center" w:pos="4536"/>
          <w:tab w:val="right" w:pos="9639"/>
        </w:tabs>
        <w:spacing w:beforeLines="0" w:afterLines="0" w:line="240" w:lineRule="auto"/>
        <w:rPr>
          <w:b/>
          <w:bCs/>
          <w:sz w:val="22"/>
          <w:szCs w:val="22"/>
        </w:rPr>
      </w:pPr>
      <w:r w:rsidRPr="005811A3">
        <w:rPr>
          <w:b/>
          <w:bCs/>
          <w:sz w:val="22"/>
          <w:szCs w:val="22"/>
          <w:lang w:eastAsia="ja-JP"/>
        </w:rPr>
        <w:t>e-Meeting, May 25th–June 5th, 2020</w:t>
      </w:r>
    </w:p>
    <w:p w:rsidR="00634D19" w:rsidRDefault="007F7E79" w:rsidP="00E2615D">
      <w:pPr>
        <w:tabs>
          <w:tab w:val="left" w:pos="1985"/>
        </w:tabs>
        <w:spacing w:beforeLines="100" w:after="120" w:line="240" w:lineRule="auto"/>
        <w:ind w:left="1987" w:hanging="1987"/>
        <w:rPr>
          <w:b/>
          <w:sz w:val="22"/>
          <w:szCs w:val="22"/>
        </w:rPr>
      </w:pPr>
      <w:r>
        <w:rPr>
          <w:b/>
          <w:sz w:val="22"/>
          <w:szCs w:val="22"/>
        </w:rPr>
        <w:t xml:space="preserve">Title: </w:t>
      </w:r>
      <w:r>
        <w:rPr>
          <w:b/>
          <w:sz w:val="22"/>
          <w:szCs w:val="22"/>
        </w:rPr>
        <w:tab/>
      </w:r>
      <w:r>
        <w:rPr>
          <w:rFonts w:hint="eastAsia"/>
          <w:b/>
          <w:sz w:val="22"/>
          <w:szCs w:val="22"/>
        </w:rPr>
        <w:t xml:space="preserve">Remaining </w:t>
      </w:r>
      <w:r>
        <w:rPr>
          <w:b/>
          <w:sz w:val="22"/>
          <w:szCs w:val="22"/>
        </w:rPr>
        <w:t>issues in Mode-1</w:t>
      </w:r>
    </w:p>
    <w:p w:rsidR="00634D19" w:rsidRDefault="007F7E79">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634D19" w:rsidRDefault="007F7E79">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7.2.4.2.1</w:t>
      </w:r>
    </w:p>
    <w:p w:rsidR="00634D19" w:rsidRDefault="007F7E79">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634D19" w:rsidRDefault="007F7E79">
      <w:pPr>
        <w:pStyle w:val="Heading1"/>
        <w:spacing w:before="120" w:after="120"/>
        <w:ind w:left="0"/>
        <w:rPr>
          <w:rFonts w:ascii="Times New Roman" w:hAnsi="Times New Roman"/>
          <w:sz w:val="20"/>
        </w:rPr>
      </w:pPr>
      <w:bookmarkStart w:id="0" w:name="_Toc24792"/>
      <w:bookmarkStart w:id="1" w:name="_Toc6764"/>
      <w:bookmarkStart w:id="2" w:name="_Toc939"/>
      <w:bookmarkEnd w:id="0"/>
      <w:bookmarkEnd w:id="1"/>
      <w:bookmarkEnd w:id="2"/>
      <w:r>
        <w:rPr>
          <w:rFonts w:ascii="Times New Roman" w:eastAsia="宋体" w:hAnsi="Times New Roman"/>
        </w:rPr>
        <w:t>Introduction</w:t>
      </w:r>
    </w:p>
    <w:p w:rsidR="00634D19" w:rsidRDefault="007F7E79">
      <w:pPr>
        <w:spacing w:before="120" w:after="120"/>
        <w:rPr>
          <w:sz w:val="20"/>
        </w:rPr>
      </w:pPr>
      <w:r>
        <w:rPr>
          <w:sz w:val="20"/>
        </w:rPr>
        <w:t>In this contribution, the remaining issues of mode 1 resource a</w:t>
      </w:r>
      <w:r w:rsidR="005811A3">
        <w:rPr>
          <w:sz w:val="20"/>
        </w:rPr>
        <w:t>llocation schemes are discussed</w:t>
      </w:r>
      <w:r>
        <w:rPr>
          <w:sz w:val="20"/>
        </w:rPr>
        <w:t>.</w:t>
      </w:r>
    </w:p>
    <w:p w:rsidR="00634D19" w:rsidRDefault="007F7E79">
      <w:pPr>
        <w:pStyle w:val="Heading1"/>
        <w:spacing w:before="120" w:after="120"/>
        <w:ind w:left="0"/>
        <w:rPr>
          <w:rFonts w:ascii="Times New Roman" w:hAnsi="Times New Roman"/>
        </w:rPr>
      </w:pPr>
      <w:r>
        <w:rPr>
          <w:rFonts w:ascii="Times New Roman" w:hAnsi="Times New Roman"/>
        </w:rPr>
        <w:t>Mode 1 scheduling scheme</w:t>
      </w:r>
    </w:p>
    <w:p w:rsidR="00634D19" w:rsidRDefault="007F7E79">
      <w:pPr>
        <w:pStyle w:val="Heading2"/>
        <w:spacing w:before="120" w:after="120"/>
        <w:ind w:left="991" w:right="210" w:hangingChars="354" w:hanging="991"/>
        <w:rPr>
          <w:rFonts w:ascii="Times New Roman" w:eastAsia="宋体" w:hAnsi="Times New Roman"/>
        </w:rPr>
      </w:pPr>
      <w:r>
        <w:rPr>
          <w:rFonts w:ascii="Times New Roman" w:hAnsi="Times New Roman"/>
        </w:rPr>
        <w:t xml:space="preserve">Sidelink DCI </w:t>
      </w:r>
    </w:p>
    <w:p w:rsidR="00634D19" w:rsidRPr="005811A3" w:rsidRDefault="007F7E79" w:rsidP="005811A3">
      <w:pPr>
        <w:spacing w:before="120" w:after="120"/>
        <w:rPr>
          <w:b/>
          <w:i/>
          <w:u w:val="single"/>
        </w:rPr>
      </w:pPr>
      <w:r w:rsidRPr="005811A3">
        <w:rPr>
          <w:b/>
          <w:i/>
          <w:u w:val="single"/>
        </w:rPr>
        <w:t>DCI content</w:t>
      </w:r>
    </w:p>
    <w:p w:rsidR="00634D19" w:rsidRDefault="007F7E79" w:rsidP="007F7E79">
      <w:pPr>
        <w:pStyle w:val="BodyText"/>
        <w:spacing w:beforeLines="0" w:afterLines="0"/>
        <w:rPr>
          <w:sz w:val="20"/>
        </w:rPr>
      </w:pPr>
      <w:r>
        <w:rPr>
          <w:sz w:val="20"/>
        </w:rPr>
        <w:t>N</w:t>
      </w:r>
      <w:r>
        <w:rPr>
          <w:rFonts w:eastAsia="等线"/>
          <w:sz w:val="20"/>
        </w:rPr>
        <w:t>ew DCI format 3 has been introduced in NR Uu to schedule the sidelink transmission, some field such as time domain resource allocation, frequency domain resource allocation, HARQ process number, configured grant index and so on are agreed to be included in DCI, besides, some other field are to be discussed for SL DCI.</w:t>
      </w:r>
    </w:p>
    <w:p w:rsidR="00634D19" w:rsidRDefault="007F7E79" w:rsidP="009F62E7">
      <w:pPr>
        <w:numPr>
          <w:ilvl w:val="0"/>
          <w:numId w:val="6"/>
        </w:numPr>
        <w:spacing w:beforeLines="0" w:afterLines="0"/>
        <w:ind w:left="418" w:hanging="418"/>
        <w:rPr>
          <w:sz w:val="20"/>
        </w:rPr>
      </w:pPr>
      <w:r>
        <w:rPr>
          <w:sz w:val="20"/>
        </w:rPr>
        <w:t xml:space="preserve">Pool index: PSFCH is not always needed in SL transmission, </w:t>
      </w:r>
      <w:r w:rsidR="00A717F5">
        <w:rPr>
          <w:sz w:val="20"/>
        </w:rPr>
        <w:t>e.g.,</w:t>
      </w:r>
      <w:r>
        <w:rPr>
          <w:sz w:val="20"/>
        </w:rPr>
        <w:t xml:space="preserve"> </w:t>
      </w:r>
      <w:r w:rsidR="00A717F5">
        <w:rPr>
          <w:sz w:val="20"/>
        </w:rPr>
        <w:t>the unicast/</w:t>
      </w:r>
      <w:r>
        <w:rPr>
          <w:sz w:val="20"/>
        </w:rPr>
        <w:t xml:space="preserve">groupcast HARQ feedback maybe disabled. So it is not efficient if only one resource pool is enabled to carry all the kinds of cast type with/without HARQ feedback. SL DCI should have the capability to select the resource pool in the run. </w:t>
      </w:r>
    </w:p>
    <w:p w:rsidR="00634D19" w:rsidRDefault="007F7E79" w:rsidP="009F62E7">
      <w:pPr>
        <w:numPr>
          <w:ilvl w:val="0"/>
          <w:numId w:val="6"/>
        </w:numPr>
        <w:spacing w:beforeLines="0" w:afterLines="0"/>
        <w:ind w:left="418" w:hanging="418"/>
        <w:rPr>
          <w:sz w:val="20"/>
        </w:rPr>
      </w:pPr>
      <w:r>
        <w:rPr>
          <w:sz w:val="20"/>
        </w:rPr>
        <w:t xml:space="preserve">CFI: In future release, it is very likely that a UE support NR sidelink transmission and reception on multi-carriers, so the </w:t>
      </w:r>
      <w:r>
        <w:rPr>
          <w:sz w:val="20"/>
          <w:lang w:eastAsia="ja-JP"/>
        </w:rPr>
        <w:t>cross-</w:t>
      </w:r>
      <w:r>
        <w:rPr>
          <w:sz w:val="20"/>
        </w:rPr>
        <w:t xml:space="preserve">carrier </w:t>
      </w:r>
      <w:r>
        <w:rPr>
          <w:sz w:val="20"/>
          <w:lang w:eastAsia="ja-JP"/>
        </w:rPr>
        <w:t xml:space="preserve">scheduling indicator </w:t>
      </w:r>
      <w:r>
        <w:rPr>
          <w:sz w:val="20"/>
        </w:rPr>
        <w:t xml:space="preserve">is needed </w:t>
      </w:r>
      <w:r>
        <w:rPr>
          <w:sz w:val="20"/>
          <w:lang w:eastAsia="ja-JP"/>
        </w:rPr>
        <w:t>in the DCI</w:t>
      </w:r>
      <w:r>
        <w:rPr>
          <w:sz w:val="20"/>
        </w:rPr>
        <w:t xml:space="preserve"> considering forward compatibility. It should be noted that DCI format 3_1 contains CFI and the size of DCI 3_0 may need to align with size of DCI 3_1. </w:t>
      </w:r>
    </w:p>
    <w:p w:rsidR="00634D19" w:rsidRDefault="007F7E79" w:rsidP="009F62E7">
      <w:pPr>
        <w:numPr>
          <w:ilvl w:val="0"/>
          <w:numId w:val="6"/>
        </w:numPr>
        <w:spacing w:beforeLines="0" w:afterLines="0"/>
        <w:ind w:left="418" w:hanging="418"/>
        <w:rPr>
          <w:sz w:val="20"/>
        </w:rPr>
      </w:pPr>
      <w:r>
        <w:rPr>
          <w:sz w:val="20"/>
        </w:rPr>
        <w:t xml:space="preserve">Indication of activation/release for a SL configured grant type-2: </w:t>
      </w:r>
      <w:r>
        <w:rPr>
          <w:rFonts w:hint="eastAsia"/>
          <w:sz w:val="20"/>
        </w:rPr>
        <w:t xml:space="preserve">In LTE V2X DCI there is one bit field called </w:t>
      </w:r>
      <w:r>
        <w:rPr>
          <w:sz w:val="20"/>
        </w:rPr>
        <w:t>“Activation/release indication”</w:t>
      </w:r>
      <w:r>
        <w:rPr>
          <w:rFonts w:hint="eastAsia"/>
          <w:sz w:val="20"/>
        </w:rPr>
        <w:t>, which is used to i</w:t>
      </w:r>
      <w:r>
        <w:rPr>
          <w:sz w:val="20"/>
        </w:rPr>
        <w:t>ndicat</w:t>
      </w:r>
      <w:r>
        <w:rPr>
          <w:rFonts w:hint="eastAsia"/>
          <w:sz w:val="20"/>
        </w:rPr>
        <w:t xml:space="preserve">e </w:t>
      </w:r>
      <w:r>
        <w:rPr>
          <w:sz w:val="20"/>
        </w:rPr>
        <w:t xml:space="preserve">activation/release for a SL </w:t>
      </w:r>
      <w:r>
        <w:rPr>
          <w:rFonts w:hint="eastAsia"/>
          <w:sz w:val="20"/>
        </w:rPr>
        <w:t>SPS configuration. The same logic can be reused for i</w:t>
      </w:r>
      <w:r>
        <w:rPr>
          <w:sz w:val="20"/>
        </w:rPr>
        <w:t>ndication of activation/release for a SL configured grant type-2</w:t>
      </w:r>
      <w:r>
        <w:rPr>
          <w:rFonts w:hint="eastAsia"/>
          <w:sz w:val="20"/>
        </w:rPr>
        <w:t>.</w:t>
      </w:r>
    </w:p>
    <w:p w:rsidR="00634D19" w:rsidRDefault="007F7E79" w:rsidP="009F62E7">
      <w:pPr>
        <w:spacing w:beforeLines="0" w:afterLines="0"/>
        <w:rPr>
          <w:sz w:val="20"/>
        </w:rPr>
      </w:pPr>
      <w:r>
        <w:rPr>
          <w:sz w:val="20"/>
        </w:rPr>
        <w:t>Then the DCI contents can be summarized as below:</w:t>
      </w:r>
    </w:p>
    <w:p w:rsidR="00634D19" w:rsidRDefault="007F7E79">
      <w:pPr>
        <w:spacing w:before="120" w:after="120"/>
        <w:jc w:val="center"/>
        <w:rPr>
          <w:sz w:val="20"/>
        </w:rPr>
      </w:pPr>
      <w:r>
        <w:rPr>
          <w:sz w:val="20"/>
        </w:rPr>
        <w:t>Table 2-1 content of DCI 3-0</w:t>
      </w:r>
    </w:p>
    <w:tbl>
      <w:tblPr>
        <w:tblStyle w:val="TableGrid"/>
        <w:tblW w:w="0" w:type="auto"/>
        <w:tblLook w:val="04A0"/>
      </w:tblPr>
      <w:tblGrid>
        <w:gridCol w:w="2012"/>
        <w:gridCol w:w="4519"/>
        <w:gridCol w:w="3345"/>
      </w:tblGrid>
      <w:tr w:rsidR="00634D19" w:rsidRPr="00E2615D" w:rsidTr="005811A3">
        <w:tc>
          <w:tcPr>
            <w:tcW w:w="0" w:type="auto"/>
            <w:vAlign w:val="center"/>
          </w:tcPr>
          <w:p w:rsidR="00634D19" w:rsidRPr="00E2615D" w:rsidRDefault="007F7E79" w:rsidP="00E2615D">
            <w:pPr>
              <w:spacing w:beforeLines="0" w:afterLines="0" w:line="240" w:lineRule="auto"/>
              <w:jc w:val="left"/>
              <w:rPr>
                <w:b/>
                <w:sz w:val="18"/>
                <w:szCs w:val="18"/>
                <w:lang w:val="en-GB" w:eastAsia="ja-JP"/>
              </w:rPr>
            </w:pPr>
            <w:r w:rsidRPr="00E2615D">
              <w:rPr>
                <w:b/>
                <w:sz w:val="18"/>
                <w:szCs w:val="18"/>
                <w:lang w:val="en-GB" w:eastAsia="ja-JP"/>
              </w:rPr>
              <w:t>Field</w:t>
            </w:r>
          </w:p>
        </w:tc>
        <w:tc>
          <w:tcPr>
            <w:tcW w:w="0" w:type="auto"/>
            <w:vAlign w:val="center"/>
          </w:tcPr>
          <w:p w:rsidR="00634D19" w:rsidRPr="00E2615D" w:rsidRDefault="007F7E79" w:rsidP="00E2615D">
            <w:pPr>
              <w:spacing w:beforeLines="0" w:afterLines="0" w:line="240" w:lineRule="auto"/>
              <w:jc w:val="left"/>
              <w:rPr>
                <w:b/>
                <w:sz w:val="18"/>
                <w:szCs w:val="18"/>
                <w:lang w:val="en-GB" w:eastAsia="ja-JP"/>
              </w:rPr>
            </w:pPr>
            <w:r w:rsidRPr="00E2615D">
              <w:rPr>
                <w:b/>
                <w:sz w:val="18"/>
                <w:szCs w:val="18"/>
                <w:lang w:val="en-GB" w:eastAsia="ja-JP"/>
              </w:rPr>
              <w:t>Values / size</w:t>
            </w:r>
          </w:p>
        </w:tc>
        <w:tc>
          <w:tcPr>
            <w:tcW w:w="0" w:type="auto"/>
            <w:vAlign w:val="center"/>
          </w:tcPr>
          <w:p w:rsidR="00634D19" w:rsidRPr="00E2615D" w:rsidRDefault="007F7E79" w:rsidP="00E2615D">
            <w:pPr>
              <w:spacing w:beforeLines="0" w:afterLines="0" w:line="240" w:lineRule="auto"/>
              <w:jc w:val="left"/>
              <w:rPr>
                <w:b/>
                <w:sz w:val="18"/>
                <w:szCs w:val="18"/>
                <w:lang w:val="en-GB" w:eastAsia="ja-JP"/>
              </w:rPr>
            </w:pPr>
            <w:r w:rsidRPr="00E2615D">
              <w:rPr>
                <w:b/>
                <w:sz w:val="18"/>
                <w:szCs w:val="18"/>
                <w:lang w:val="en-GB" w:eastAsia="ja-JP"/>
              </w:rPr>
              <w:t>Notes</w:t>
            </w: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CFI</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0 or 3bits</w:t>
            </w:r>
          </w:p>
        </w:tc>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rPr>
              <w:t>This field is present according to the high layer configuration</w:t>
            </w: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Pool index</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0 or 3bits</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This field is present according to the high layer configuration</w:t>
            </w:r>
          </w:p>
        </w:tc>
      </w:tr>
      <w:tr w:rsidR="00634D19" w:rsidRPr="00E2615D" w:rsidTr="005811A3">
        <w:trPr>
          <w:trHeight w:val="1646"/>
        </w:trPr>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t>Resource allocation</w:t>
            </w:r>
          </w:p>
        </w:tc>
        <w:tc>
          <w:tcPr>
            <w:tcW w:w="0" w:type="auto"/>
            <w:vAlign w:val="center"/>
          </w:tcPr>
          <w:p w:rsidR="00634D19" w:rsidRPr="00E2615D" w:rsidRDefault="007F7E79" w:rsidP="00E2615D">
            <w:pPr>
              <w:spacing w:beforeLines="0" w:afterLines="0" w:line="240" w:lineRule="auto"/>
              <w:jc w:val="left"/>
              <w:rPr>
                <w:position w:val="-10"/>
                <w:sz w:val="18"/>
                <w:szCs w:val="18"/>
              </w:rPr>
            </w:pPr>
            <w:r w:rsidRPr="00E2615D">
              <w:rPr>
                <w:sz w:val="18"/>
                <w:szCs w:val="18"/>
              </w:rPr>
              <w:t>Part1</w:t>
            </w:r>
            <w:r w:rsidRPr="00E2615D">
              <w:rPr>
                <w:sz w:val="18"/>
                <w:szCs w:val="18"/>
              </w:rPr>
              <w:t>：</w:t>
            </w:r>
            <w:r w:rsidRPr="00E2615D">
              <w:rPr>
                <w:sz w:val="18"/>
                <w:szCs w:val="18"/>
              </w:rPr>
              <w:t xml:space="preserve">Lowest index of the subchannel allocation to the initial transmission - </w:t>
            </w:r>
            <w:r w:rsidR="00634D19" w:rsidRPr="00E2615D">
              <w:rPr>
                <w:position w:val="-10"/>
                <w:sz w:val="18"/>
                <w:szCs w:val="18"/>
              </w:rPr>
              <w:object w:dxaOrig="15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20.15pt" o:ole="">
                  <v:imagedata r:id="rId8" o:title=""/>
                </v:shape>
                <o:OLEObject Type="Embed" ProgID="Equation.3" ShapeID="_x0000_i1025" DrawAspect="Content" ObjectID="_1651000000" r:id="rId9"/>
              </w:object>
            </w:r>
            <w:r w:rsidRPr="00E2615D">
              <w:rPr>
                <w:rFonts w:eastAsia="SimSun"/>
                <w:sz w:val="18"/>
                <w:szCs w:val="18"/>
              </w:rPr>
              <w:t>. Maximum 5bits.</w:t>
            </w:r>
          </w:p>
          <w:p w:rsidR="00634D19" w:rsidRPr="00E2615D" w:rsidRDefault="007F7E79" w:rsidP="00E2615D">
            <w:pPr>
              <w:spacing w:beforeLines="0" w:afterLines="0" w:line="240" w:lineRule="auto"/>
              <w:jc w:val="left"/>
              <w:rPr>
                <w:sz w:val="18"/>
                <w:szCs w:val="18"/>
              </w:rPr>
            </w:pPr>
            <w:r w:rsidRPr="00E2615D">
              <w:rPr>
                <w:sz w:val="18"/>
                <w:szCs w:val="18"/>
              </w:rPr>
              <w:t>Part2</w:t>
            </w:r>
            <w:r w:rsidRPr="00E2615D">
              <w:rPr>
                <w:sz w:val="18"/>
                <w:szCs w:val="18"/>
              </w:rPr>
              <w:t>：</w:t>
            </w:r>
            <w:r w:rsidRPr="00E2615D">
              <w:rPr>
                <w:sz w:val="18"/>
                <w:szCs w:val="18"/>
              </w:rPr>
              <w:t xml:space="preserve"> SCI format content</w:t>
            </w:r>
          </w:p>
          <w:p w:rsidR="00634D19" w:rsidRPr="00E2615D" w:rsidRDefault="007F7E79" w:rsidP="00E2615D">
            <w:pPr>
              <w:pStyle w:val="ListParagraph"/>
              <w:numPr>
                <w:ilvl w:val="0"/>
                <w:numId w:val="7"/>
              </w:numPr>
              <w:spacing w:before="60" w:afterLines="0"/>
              <w:contextualSpacing w:val="0"/>
              <w:jc w:val="left"/>
              <w:rPr>
                <w:sz w:val="18"/>
                <w:szCs w:val="18"/>
              </w:rPr>
            </w:pPr>
            <w:r w:rsidRPr="00E2615D">
              <w:rPr>
                <w:sz w:val="18"/>
                <w:szCs w:val="18"/>
              </w:rPr>
              <w:t>TDRA :9bits or 5bits</w:t>
            </w:r>
          </w:p>
          <w:p w:rsidR="00634D19" w:rsidRPr="00E2615D" w:rsidRDefault="003277AA" w:rsidP="00E2615D">
            <w:pPr>
              <w:pStyle w:val="ListParagraph"/>
              <w:numPr>
                <w:ilvl w:val="0"/>
                <w:numId w:val="7"/>
              </w:numPr>
              <w:spacing w:before="60" w:afterLines="0"/>
              <w:contextualSpacing w:val="0"/>
              <w:jc w:val="left"/>
              <w:rPr>
                <w:sz w:val="18"/>
                <w:szCs w:val="18"/>
                <w:lang w:eastAsia="ja-JP"/>
              </w:rPr>
            </w:pPr>
            <w:r w:rsidRPr="00E2615D">
              <w:rPr>
                <w:sz w:val="18"/>
                <w:szCs w:val="18"/>
              </w:rPr>
              <w:t>FDRA: maximum</w:t>
            </w:r>
            <w:r w:rsidR="007F7E79" w:rsidRPr="00E2615D">
              <w:rPr>
                <w:sz w:val="18"/>
                <w:szCs w:val="18"/>
              </w:rPr>
              <w:t xml:space="preserve"> 13bits or 9bits</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Reuse method of R14, bits length of part 1 depend on the number of subchannel</w:t>
            </w:r>
          </w:p>
          <w:p w:rsidR="00634D19" w:rsidRPr="00E2615D" w:rsidRDefault="007F7E79" w:rsidP="00E2615D">
            <w:pPr>
              <w:spacing w:beforeLines="0" w:afterLines="0" w:line="240" w:lineRule="auto"/>
              <w:jc w:val="left"/>
              <w:rPr>
                <w:sz w:val="18"/>
                <w:szCs w:val="18"/>
              </w:rPr>
            </w:pPr>
            <w:r w:rsidRPr="00E2615D">
              <w:rPr>
                <w:sz w:val="18"/>
                <w:szCs w:val="18"/>
              </w:rPr>
              <w:t>Bits length of part 2 depend on the configured max number of TB transmissions scheduled in a SCI</w:t>
            </w: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t>PDCCH-to-PSSCH gap</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3bits</w:t>
            </w:r>
          </w:p>
        </w:tc>
        <w:tc>
          <w:tcPr>
            <w:tcW w:w="0" w:type="auto"/>
            <w:vAlign w:val="center"/>
          </w:tcPr>
          <w:p w:rsidR="00634D19" w:rsidRPr="00E2615D" w:rsidRDefault="00634D19" w:rsidP="00E2615D">
            <w:pPr>
              <w:spacing w:beforeLines="0" w:afterLines="0" w:line="240" w:lineRule="auto"/>
              <w:jc w:val="left"/>
              <w:rPr>
                <w:sz w:val="18"/>
                <w:szCs w:val="18"/>
                <w:lang w:val="en-GB" w:eastAsia="ja-JP"/>
              </w:rPr>
            </w:pP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lastRenderedPageBreak/>
              <w:t>Timing for PUCCH</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[0-3]bits</w:t>
            </w:r>
          </w:p>
        </w:tc>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rPr>
              <w:t>According to the RRC configurations</w:t>
            </w: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t>Resource for PUCCH</w:t>
            </w:r>
          </w:p>
        </w:tc>
        <w:tc>
          <w:tcPr>
            <w:tcW w:w="0" w:type="auto"/>
            <w:vAlign w:val="center"/>
          </w:tcPr>
          <w:p w:rsidR="00634D19" w:rsidRPr="00E2615D" w:rsidRDefault="007F7E79" w:rsidP="00E2615D">
            <w:pPr>
              <w:spacing w:beforeLines="0" w:afterLines="0" w:line="240" w:lineRule="auto"/>
              <w:jc w:val="left"/>
              <w:rPr>
                <w:sz w:val="18"/>
                <w:szCs w:val="18"/>
                <w:lang w:eastAsia="ja-JP"/>
              </w:rPr>
            </w:pPr>
            <w:r w:rsidRPr="00E2615D">
              <w:rPr>
                <w:sz w:val="18"/>
                <w:szCs w:val="18"/>
              </w:rPr>
              <w:t>3bits</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 xml:space="preserve"> </w:t>
            </w:r>
          </w:p>
        </w:tc>
      </w:tr>
      <w:tr w:rsidR="00634D19" w:rsidRPr="00E2615D" w:rsidTr="005811A3">
        <w:trPr>
          <w:trHeight w:val="381"/>
        </w:trPr>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t>HARQ ID</w:t>
            </w:r>
          </w:p>
        </w:tc>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t>4 bits</w:t>
            </w:r>
          </w:p>
        </w:tc>
        <w:tc>
          <w:tcPr>
            <w:tcW w:w="0" w:type="auto"/>
            <w:vAlign w:val="center"/>
          </w:tcPr>
          <w:p w:rsidR="00634D19" w:rsidRPr="00E2615D" w:rsidRDefault="00634D19" w:rsidP="00E2615D">
            <w:pPr>
              <w:spacing w:beforeLines="0" w:afterLines="0" w:line="240" w:lineRule="auto"/>
              <w:jc w:val="left"/>
              <w:rPr>
                <w:sz w:val="18"/>
                <w:szCs w:val="18"/>
                <w:lang w:val="en-GB" w:eastAsia="ja-JP"/>
              </w:rPr>
            </w:pP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t>NDI</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lang w:val="en-GB" w:eastAsia="ja-JP"/>
              </w:rPr>
              <w:t>1 bit</w:t>
            </w:r>
            <w:r w:rsidRPr="00E2615D">
              <w:rPr>
                <w:sz w:val="18"/>
                <w:szCs w:val="18"/>
              </w:rPr>
              <w:t>s</w:t>
            </w:r>
          </w:p>
        </w:tc>
        <w:tc>
          <w:tcPr>
            <w:tcW w:w="0" w:type="auto"/>
            <w:vAlign w:val="center"/>
          </w:tcPr>
          <w:p w:rsidR="00634D19" w:rsidRPr="00E2615D" w:rsidRDefault="00634D19" w:rsidP="00E2615D">
            <w:pPr>
              <w:spacing w:beforeLines="0" w:afterLines="0" w:line="240" w:lineRule="auto"/>
              <w:jc w:val="left"/>
              <w:rPr>
                <w:sz w:val="18"/>
                <w:szCs w:val="18"/>
                <w:lang w:val="en-GB" w:eastAsia="ja-JP"/>
              </w:rPr>
            </w:pP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Configured grant index</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3bits</w:t>
            </w:r>
          </w:p>
        </w:tc>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rPr>
              <w:t>Only needed for configured grant type 2</w:t>
            </w: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lang w:val="en-GB" w:eastAsia="ja-JP"/>
              </w:rPr>
              <w:t>Configured grant activation/release</w:t>
            </w:r>
          </w:p>
        </w:tc>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rPr>
              <w:t>1</w:t>
            </w:r>
            <w:r w:rsidRPr="00E2615D">
              <w:rPr>
                <w:sz w:val="18"/>
                <w:szCs w:val="18"/>
                <w:lang w:val="en-GB" w:eastAsia="ja-JP"/>
              </w:rPr>
              <w:t xml:space="preserve"> bit</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Only needed for configured grant type 2</w:t>
            </w: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rPr>
              <w:t>S</w:t>
            </w:r>
            <w:r w:rsidRPr="00E2615D">
              <w:rPr>
                <w:sz w:val="18"/>
                <w:szCs w:val="18"/>
                <w:lang w:val="en-GB" w:eastAsia="ja-JP"/>
              </w:rPr>
              <w:t>AI</w:t>
            </w:r>
          </w:p>
        </w:tc>
        <w:tc>
          <w:tcPr>
            <w:tcW w:w="0" w:type="auto"/>
            <w:vAlign w:val="center"/>
          </w:tcPr>
          <w:p w:rsidR="00634D19" w:rsidRPr="00E2615D" w:rsidRDefault="007F7E79" w:rsidP="00E2615D">
            <w:pPr>
              <w:spacing w:beforeLines="0" w:afterLines="0" w:line="240" w:lineRule="auto"/>
              <w:jc w:val="left"/>
              <w:rPr>
                <w:sz w:val="18"/>
                <w:szCs w:val="18"/>
                <w:lang w:val="en-GB" w:eastAsia="ja-JP"/>
              </w:rPr>
            </w:pPr>
            <w:r w:rsidRPr="00E2615D">
              <w:rPr>
                <w:sz w:val="18"/>
                <w:szCs w:val="18"/>
              </w:rPr>
              <w:t>2</w:t>
            </w:r>
            <w:r w:rsidRPr="00E2615D">
              <w:rPr>
                <w:sz w:val="18"/>
                <w:szCs w:val="18"/>
                <w:lang w:val="en-GB" w:eastAsia="ja-JP"/>
              </w:rPr>
              <w:t>bits</w:t>
            </w:r>
          </w:p>
        </w:tc>
        <w:tc>
          <w:tcPr>
            <w:tcW w:w="0" w:type="auto"/>
            <w:vAlign w:val="center"/>
          </w:tcPr>
          <w:p w:rsidR="00634D19" w:rsidRPr="00E2615D" w:rsidRDefault="00634D19" w:rsidP="00E2615D">
            <w:pPr>
              <w:spacing w:beforeLines="0" w:afterLines="0" w:line="240" w:lineRule="auto"/>
              <w:jc w:val="left"/>
              <w:rPr>
                <w:sz w:val="18"/>
                <w:szCs w:val="18"/>
              </w:rPr>
            </w:pPr>
          </w:p>
        </w:tc>
      </w:tr>
      <w:tr w:rsidR="00634D19" w:rsidRPr="00E2615D" w:rsidTr="005811A3">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CRC</w:t>
            </w:r>
          </w:p>
        </w:tc>
        <w:tc>
          <w:tcPr>
            <w:tcW w:w="0" w:type="auto"/>
            <w:vAlign w:val="center"/>
          </w:tcPr>
          <w:p w:rsidR="00634D19" w:rsidRPr="00E2615D" w:rsidRDefault="007F7E79" w:rsidP="00E2615D">
            <w:pPr>
              <w:spacing w:beforeLines="0" w:afterLines="0" w:line="240" w:lineRule="auto"/>
              <w:jc w:val="left"/>
              <w:rPr>
                <w:sz w:val="18"/>
                <w:szCs w:val="18"/>
              </w:rPr>
            </w:pPr>
            <w:r w:rsidRPr="00E2615D">
              <w:rPr>
                <w:sz w:val="18"/>
                <w:szCs w:val="18"/>
              </w:rPr>
              <w:t>24bits</w:t>
            </w:r>
          </w:p>
        </w:tc>
        <w:tc>
          <w:tcPr>
            <w:tcW w:w="0" w:type="auto"/>
            <w:vAlign w:val="center"/>
          </w:tcPr>
          <w:p w:rsidR="00634D19" w:rsidRPr="00E2615D" w:rsidRDefault="00634D19" w:rsidP="00E2615D">
            <w:pPr>
              <w:spacing w:beforeLines="0" w:afterLines="0" w:line="240" w:lineRule="auto"/>
              <w:jc w:val="left"/>
              <w:rPr>
                <w:sz w:val="18"/>
                <w:szCs w:val="18"/>
              </w:rPr>
            </w:pPr>
          </w:p>
        </w:tc>
      </w:tr>
    </w:tbl>
    <w:p w:rsidR="00634D19" w:rsidRDefault="007F7E79" w:rsidP="009F62E7">
      <w:pPr>
        <w:pStyle w:val="YJ-Proposal"/>
        <w:spacing w:beforeLines="0" w:afterLines="0"/>
        <w:rPr>
          <w:lang w:val="en-US" w:eastAsia="zh-CN"/>
        </w:rPr>
      </w:pPr>
      <w:bookmarkStart w:id="3" w:name="_Toc6096"/>
      <w:bookmarkStart w:id="4" w:name="_Toc37443567"/>
      <w:bookmarkStart w:id="5" w:name="_Toc30184"/>
      <w:bookmarkStart w:id="6" w:name="_Toc4117"/>
      <w:bookmarkStart w:id="7" w:name="_Toc26106"/>
      <w:bookmarkStart w:id="8" w:name="_Toc13447"/>
      <w:bookmarkStart w:id="9" w:name="_Toc40387017"/>
      <w:r>
        <w:rPr>
          <w:lang w:val="en-US" w:eastAsia="zh-CN"/>
        </w:rPr>
        <w:t>To add CFI, pool index and configured grant activation/release to DCI format 3_0.</w:t>
      </w:r>
      <w:bookmarkEnd w:id="3"/>
      <w:bookmarkEnd w:id="4"/>
      <w:bookmarkEnd w:id="5"/>
      <w:bookmarkEnd w:id="6"/>
      <w:bookmarkEnd w:id="7"/>
      <w:bookmarkEnd w:id="8"/>
      <w:bookmarkEnd w:id="9"/>
    </w:p>
    <w:p w:rsidR="00634D19" w:rsidRPr="007F7E79" w:rsidRDefault="005811A3" w:rsidP="007F7E79">
      <w:pPr>
        <w:spacing w:before="120" w:after="120"/>
        <w:rPr>
          <w:b/>
          <w:i/>
          <w:u w:val="single"/>
        </w:rPr>
      </w:pPr>
      <w:r w:rsidRPr="007F7E79">
        <w:rPr>
          <w:b/>
          <w:i/>
          <w:u w:val="single"/>
        </w:rPr>
        <w:t>DCI s</w:t>
      </w:r>
      <w:r w:rsidR="007F7E79" w:rsidRPr="007F7E79">
        <w:rPr>
          <w:b/>
          <w:i/>
          <w:u w:val="single"/>
        </w:rPr>
        <w:t>ize alignment</w:t>
      </w:r>
    </w:p>
    <w:p w:rsidR="00634D19" w:rsidRDefault="007F7E79">
      <w:pPr>
        <w:spacing w:before="120" w:after="120"/>
        <w:rPr>
          <w:sz w:val="20"/>
        </w:rPr>
      </w:pPr>
      <w:r>
        <w:rPr>
          <w:rFonts w:hint="eastAsia"/>
          <w:sz w:val="20"/>
        </w:rPr>
        <w:t xml:space="preserve">As agreed, </w:t>
      </w:r>
      <w:r>
        <w:rPr>
          <w:sz w:val="20"/>
        </w:rPr>
        <w:t xml:space="preserve">the sizes of </w:t>
      </w:r>
      <w:r>
        <w:rPr>
          <w:rFonts w:hint="eastAsia"/>
          <w:sz w:val="20"/>
        </w:rPr>
        <w:t xml:space="preserve">DCI 3_0 and DCI 3_1 align with each other. </w:t>
      </w:r>
      <w:r>
        <w:rPr>
          <w:sz w:val="20"/>
        </w:rPr>
        <w:t>Here</w:t>
      </w:r>
      <w:r>
        <w:rPr>
          <w:rFonts w:hint="eastAsia"/>
          <w:sz w:val="20"/>
        </w:rPr>
        <w:t xml:space="preserve"> we take DCI 3_0 </w:t>
      </w:r>
      <w:r>
        <w:rPr>
          <w:sz w:val="20"/>
        </w:rPr>
        <w:t xml:space="preserve">(after 3_0-3_1 alignment) </w:t>
      </w:r>
      <w:r>
        <w:rPr>
          <w:rFonts w:hint="eastAsia"/>
          <w:sz w:val="20"/>
        </w:rPr>
        <w:t xml:space="preserve">as </w:t>
      </w:r>
      <w:r>
        <w:rPr>
          <w:sz w:val="20"/>
        </w:rPr>
        <w:t xml:space="preserve">input </w:t>
      </w:r>
      <w:r>
        <w:rPr>
          <w:rFonts w:hint="eastAsia"/>
          <w:sz w:val="20"/>
        </w:rPr>
        <w:t xml:space="preserve">to determine how to align DCI 3_0 with other NR Uu DCI </w:t>
      </w:r>
      <w:r>
        <w:rPr>
          <w:sz w:val="20"/>
        </w:rPr>
        <w:t xml:space="preserve">size </w:t>
      </w:r>
      <w:r>
        <w:rPr>
          <w:rFonts w:hint="eastAsia"/>
          <w:sz w:val="20"/>
        </w:rPr>
        <w:t>if the DCI size budget is not satisfied.</w:t>
      </w:r>
    </w:p>
    <w:p w:rsidR="00634D19" w:rsidRDefault="007F7E79">
      <w:pPr>
        <w:spacing w:before="120" w:after="120"/>
        <w:rPr>
          <w:sz w:val="20"/>
        </w:rPr>
      </w:pPr>
      <w:r>
        <w:rPr>
          <w:rFonts w:hint="eastAsia"/>
          <w:sz w:val="20"/>
        </w:rPr>
        <w:t>In NR Uu</w:t>
      </w:r>
      <w:r>
        <w:rPr>
          <w:sz w:val="20"/>
        </w:rPr>
        <w:t>,</w:t>
      </w:r>
      <w:r>
        <w:rPr>
          <w:rFonts w:hint="eastAsia"/>
          <w:sz w:val="20"/>
        </w:rPr>
        <w:t xml:space="preserve"> </w:t>
      </w:r>
      <w:r>
        <w:rPr>
          <w:sz w:val="20"/>
        </w:rPr>
        <w:t xml:space="preserve">the </w:t>
      </w:r>
      <w:r>
        <w:rPr>
          <w:rFonts w:hint="eastAsia"/>
          <w:sz w:val="20"/>
        </w:rPr>
        <w:t>size</w:t>
      </w:r>
      <w:r>
        <w:rPr>
          <w:sz w:val="20"/>
        </w:rPr>
        <w:t>s</w:t>
      </w:r>
      <w:r>
        <w:rPr>
          <w:rFonts w:hint="eastAsia"/>
          <w:sz w:val="20"/>
        </w:rPr>
        <w:t xml:space="preserve"> of DCI 0_0 and DCI 1_0 are aligned by zero padding or </w:t>
      </w:r>
      <w:r>
        <w:rPr>
          <w:sz w:val="20"/>
        </w:rPr>
        <w:t>truncation</w:t>
      </w:r>
      <w:r>
        <w:rPr>
          <w:rFonts w:hint="eastAsia"/>
          <w:sz w:val="20"/>
        </w:rPr>
        <w:t xml:space="preserve">. Usually size of </w:t>
      </w:r>
      <w:r>
        <w:rPr>
          <w:sz w:val="20"/>
        </w:rPr>
        <w:t xml:space="preserve">DCI format </w:t>
      </w:r>
      <w:r>
        <w:rPr>
          <w:rFonts w:hint="eastAsia"/>
          <w:sz w:val="20"/>
        </w:rPr>
        <w:t>1</w:t>
      </w:r>
      <w:r>
        <w:rPr>
          <w:sz w:val="20"/>
        </w:rPr>
        <w:t>_0</w:t>
      </w:r>
      <w:r>
        <w:rPr>
          <w:rFonts w:hint="eastAsia"/>
          <w:sz w:val="20"/>
        </w:rPr>
        <w:t xml:space="preserve"> </w:t>
      </w:r>
      <w:r>
        <w:rPr>
          <w:sz w:val="20"/>
        </w:rPr>
        <w:t>monitored in a UE-specific search space</w:t>
      </w:r>
      <w:r>
        <w:rPr>
          <w:rFonts w:hint="eastAsia"/>
          <w:sz w:val="20"/>
        </w:rPr>
        <w:t xml:space="preserve"> is larger </w:t>
      </w:r>
      <w:r>
        <w:rPr>
          <w:sz w:val="20"/>
        </w:rPr>
        <w:t>(≤</w:t>
      </w:r>
      <w:r>
        <w:rPr>
          <w:rFonts w:hint="eastAsia"/>
          <w:sz w:val="20"/>
        </w:rPr>
        <w:t>46bits</w:t>
      </w:r>
      <w:r>
        <w:rPr>
          <w:sz w:val="20"/>
        </w:rPr>
        <w:t>)</w:t>
      </w:r>
      <w:r>
        <w:rPr>
          <w:rFonts w:hint="eastAsia"/>
          <w:sz w:val="20"/>
        </w:rPr>
        <w:t>. Regarding to DCI 0_1, max size can be more than 100bits, and min size is only 31bits. According to the analysis in section 2.1.1, the max size of DCI 3_0 can be as large as 53bits, so DCI 0_1 is a better choice to be aligned for DCI 3_0 if the DCI size budget is not satisfied.</w:t>
      </w:r>
    </w:p>
    <w:p w:rsidR="00634D19" w:rsidRDefault="007F7E79">
      <w:pPr>
        <w:spacing w:before="120" w:after="120"/>
        <w:rPr>
          <w:sz w:val="20"/>
        </w:rPr>
      </w:pPr>
      <w:r>
        <w:rPr>
          <w:rFonts w:hint="eastAsia"/>
          <w:sz w:val="20"/>
        </w:rPr>
        <w:t>So if</w:t>
      </w:r>
    </w:p>
    <w:p w:rsidR="00634D19" w:rsidRDefault="007F7E79">
      <w:pPr>
        <w:pStyle w:val="B2"/>
        <w:spacing w:before="120" w:after="120"/>
        <w:rPr>
          <w:sz w:val="20"/>
          <w:lang w:val="en-US"/>
        </w:rPr>
      </w:pPr>
      <w:r>
        <w:rPr>
          <w:sz w:val="20"/>
          <w:lang w:val="en-US"/>
        </w:rPr>
        <w:t>-</w:t>
      </w:r>
      <w:r>
        <w:rPr>
          <w:sz w:val="20"/>
          <w:lang w:val="en-US"/>
        </w:rPr>
        <w:tab/>
        <w:t xml:space="preserve">the total number of different DCI sizes configured to monitor is no more than 4 for the cell, and </w:t>
      </w:r>
    </w:p>
    <w:p w:rsidR="00634D19" w:rsidRDefault="007F7E79">
      <w:pPr>
        <w:pStyle w:val="B2"/>
        <w:spacing w:before="120" w:after="120"/>
        <w:rPr>
          <w:sz w:val="20"/>
          <w:lang w:val="en-US"/>
        </w:rPr>
      </w:pPr>
      <w:r>
        <w:rPr>
          <w:sz w:val="20"/>
          <w:lang w:val="en-US"/>
        </w:rPr>
        <w:t>-</w:t>
      </w:r>
      <w:r>
        <w:rPr>
          <w:sz w:val="20"/>
          <w:lang w:val="en-US"/>
        </w:rPr>
        <w:tab/>
        <w:t>the total number of different DCI sizes with C-RNTI configured to monitor is no more than 3 for the cell</w:t>
      </w:r>
    </w:p>
    <w:p w:rsidR="00634D19" w:rsidRDefault="007F7E79">
      <w:pPr>
        <w:spacing w:before="120" w:after="120"/>
        <w:rPr>
          <w:sz w:val="20"/>
        </w:rPr>
      </w:pPr>
      <w:r>
        <w:rPr>
          <w:rFonts w:hint="eastAsia"/>
          <w:sz w:val="20"/>
        </w:rPr>
        <w:t>DCI 3_0 can have its own size and there is no need to align with other DCI</w:t>
      </w:r>
      <w:r>
        <w:rPr>
          <w:sz w:val="20"/>
        </w:rPr>
        <w:t>.</w:t>
      </w:r>
    </w:p>
    <w:p w:rsidR="00634D19" w:rsidRDefault="007F7E79">
      <w:pPr>
        <w:spacing w:before="120" w:after="120"/>
        <w:rPr>
          <w:sz w:val="20"/>
        </w:rPr>
      </w:pPr>
      <w:r>
        <w:rPr>
          <w:rFonts w:hint="eastAsia"/>
          <w:sz w:val="20"/>
        </w:rPr>
        <w:t>If</w:t>
      </w:r>
    </w:p>
    <w:p w:rsidR="00634D19" w:rsidRDefault="007F7E79">
      <w:pPr>
        <w:spacing w:before="120" w:after="120"/>
        <w:ind w:firstLineChars="200" w:firstLine="400"/>
        <w:rPr>
          <w:sz w:val="20"/>
        </w:rPr>
      </w:pPr>
      <w:r>
        <w:rPr>
          <w:rFonts w:hint="eastAsia"/>
          <w:sz w:val="20"/>
        </w:rPr>
        <w:t xml:space="preserve"> </w:t>
      </w:r>
      <w:r>
        <w:rPr>
          <w:sz w:val="20"/>
        </w:rPr>
        <w:t>-</w:t>
      </w:r>
      <w:r>
        <w:rPr>
          <w:sz w:val="20"/>
        </w:rPr>
        <w:tab/>
        <w:t xml:space="preserve">the total number of different DCI sizes configured to monitor is more than 4 for the cell, or </w:t>
      </w:r>
    </w:p>
    <w:p w:rsidR="00634D19" w:rsidRDefault="007F7E79">
      <w:pPr>
        <w:spacing w:before="120" w:after="120"/>
        <w:ind w:firstLineChars="200" w:firstLine="400"/>
        <w:rPr>
          <w:sz w:val="20"/>
        </w:rPr>
      </w:pPr>
      <w:r>
        <w:rPr>
          <w:sz w:val="20"/>
        </w:rPr>
        <w:t xml:space="preserve"> -   the total number of different DCI sizes with C-RNTI configured to monitor is more than 3 for the cell after applying the above steps</w:t>
      </w:r>
      <w:r>
        <w:rPr>
          <w:rFonts w:hint="eastAsia"/>
          <w:sz w:val="20"/>
        </w:rPr>
        <w:t xml:space="preserve"> in TS 38.212 section 7.3.1.0.</w:t>
      </w:r>
    </w:p>
    <w:p w:rsidR="00634D19" w:rsidRDefault="007F7E79">
      <w:pPr>
        <w:spacing w:before="120" w:after="120"/>
        <w:rPr>
          <w:sz w:val="20"/>
        </w:rPr>
      </w:pPr>
      <w:r>
        <w:rPr>
          <w:rFonts w:hint="eastAsia"/>
          <w:sz w:val="20"/>
        </w:rPr>
        <w:t xml:space="preserve">Then </w:t>
      </w:r>
      <w:r>
        <w:rPr>
          <w:sz w:val="20"/>
        </w:rPr>
        <w:t>size of DCI</w:t>
      </w:r>
      <w:r w:rsidR="00D37B6E">
        <w:rPr>
          <w:sz w:val="20"/>
        </w:rPr>
        <w:t xml:space="preserve"> </w:t>
      </w:r>
      <w:r>
        <w:rPr>
          <w:sz w:val="20"/>
        </w:rPr>
        <w:t xml:space="preserve">3_0 is to be aligned with size of DCI </w:t>
      </w:r>
      <w:r>
        <w:rPr>
          <w:rFonts w:hint="eastAsia"/>
          <w:sz w:val="20"/>
        </w:rPr>
        <w:t>0</w:t>
      </w:r>
      <w:r>
        <w:rPr>
          <w:sz w:val="20"/>
        </w:rPr>
        <w:t>_1:</w:t>
      </w:r>
      <w:r>
        <w:rPr>
          <w:rFonts w:hint="eastAsia"/>
          <w:sz w:val="20"/>
        </w:rPr>
        <w:t xml:space="preserve"> </w:t>
      </w:r>
    </w:p>
    <w:p w:rsidR="00634D19" w:rsidRDefault="007F7E79">
      <w:pPr>
        <w:spacing w:before="120" w:after="120"/>
        <w:ind w:leftChars="200" w:left="620" w:hangingChars="100" w:hanging="200"/>
        <w:rPr>
          <w:sz w:val="20"/>
        </w:rPr>
      </w:pPr>
      <w:r>
        <w:rPr>
          <w:sz w:val="20"/>
        </w:rPr>
        <w:t>-</w:t>
      </w:r>
      <w:r>
        <w:rPr>
          <w:sz w:val="20"/>
        </w:rPr>
        <w:tab/>
      </w:r>
      <w:r>
        <w:rPr>
          <w:rFonts w:hint="eastAsia"/>
          <w:sz w:val="20"/>
        </w:rPr>
        <w:t>if size of DCI 3_0 is small</w:t>
      </w:r>
      <w:r>
        <w:rPr>
          <w:sz w:val="20"/>
        </w:rPr>
        <w:t>er</w:t>
      </w:r>
      <w:r>
        <w:rPr>
          <w:rFonts w:hint="eastAsia"/>
          <w:sz w:val="20"/>
        </w:rPr>
        <w:t xml:space="preserve"> than </w:t>
      </w:r>
      <w:r>
        <w:rPr>
          <w:sz w:val="20"/>
        </w:rPr>
        <w:t xml:space="preserve">size of </w:t>
      </w:r>
      <w:r>
        <w:rPr>
          <w:rFonts w:hint="eastAsia"/>
          <w:sz w:val="20"/>
        </w:rPr>
        <w:t xml:space="preserve">DCI 0_1, the zero padding is </w:t>
      </w:r>
      <w:r>
        <w:rPr>
          <w:sz w:val="20"/>
        </w:rPr>
        <w:t>attached to</w:t>
      </w:r>
      <w:r>
        <w:rPr>
          <w:rFonts w:hint="eastAsia"/>
          <w:sz w:val="20"/>
        </w:rPr>
        <w:t xml:space="preserve"> DCI 3_0 to align with the size of </w:t>
      </w:r>
      <w:r>
        <w:rPr>
          <w:sz w:val="20"/>
        </w:rPr>
        <w:t xml:space="preserve">DCI </w:t>
      </w:r>
      <w:r>
        <w:rPr>
          <w:rFonts w:hint="eastAsia"/>
          <w:sz w:val="20"/>
        </w:rPr>
        <w:t>0</w:t>
      </w:r>
      <w:r>
        <w:rPr>
          <w:sz w:val="20"/>
        </w:rPr>
        <w:t>_1.</w:t>
      </w:r>
    </w:p>
    <w:p w:rsidR="00634D19" w:rsidRDefault="007F7E79">
      <w:pPr>
        <w:spacing w:before="120" w:after="120"/>
        <w:ind w:leftChars="200" w:left="620" w:hangingChars="100" w:hanging="200"/>
        <w:rPr>
          <w:sz w:val="20"/>
        </w:rPr>
      </w:pPr>
      <w:r>
        <w:rPr>
          <w:sz w:val="20"/>
        </w:rPr>
        <w:t>-</w:t>
      </w:r>
      <w:r>
        <w:rPr>
          <w:sz w:val="20"/>
        </w:rPr>
        <w:tab/>
        <w:t>To avoid</w:t>
      </w:r>
      <w:r>
        <w:rPr>
          <w:rFonts w:hint="eastAsia"/>
          <w:sz w:val="20"/>
        </w:rPr>
        <w:t xml:space="preserve"> impact</w:t>
      </w:r>
      <w:r>
        <w:rPr>
          <w:sz w:val="20"/>
        </w:rPr>
        <w:t>s</w:t>
      </w:r>
      <w:r>
        <w:rPr>
          <w:rFonts w:hint="eastAsia"/>
          <w:sz w:val="20"/>
        </w:rPr>
        <w:t xml:space="preserve"> </w:t>
      </w:r>
      <w:r>
        <w:rPr>
          <w:sz w:val="20"/>
        </w:rPr>
        <w:t xml:space="preserve">to </w:t>
      </w:r>
      <w:r>
        <w:rPr>
          <w:rFonts w:hint="eastAsia"/>
          <w:sz w:val="20"/>
        </w:rPr>
        <w:t xml:space="preserve">the legacy specification, UE is not expected size of DCI 0_1 is smaller than </w:t>
      </w:r>
      <w:r>
        <w:rPr>
          <w:sz w:val="20"/>
        </w:rPr>
        <w:t xml:space="preserve">size of </w:t>
      </w:r>
      <w:r>
        <w:rPr>
          <w:rFonts w:hint="eastAsia"/>
          <w:sz w:val="20"/>
        </w:rPr>
        <w:t>DCI 3_0</w:t>
      </w:r>
      <w:r>
        <w:rPr>
          <w:sz w:val="20"/>
        </w:rPr>
        <w:t>.</w:t>
      </w:r>
    </w:p>
    <w:p w:rsidR="00634D19" w:rsidRDefault="007F7E79">
      <w:pPr>
        <w:pStyle w:val="YJ-Proposal"/>
        <w:spacing w:before="120" w:after="120"/>
        <w:rPr>
          <w:lang w:val="en-US" w:eastAsia="zh-CN"/>
        </w:rPr>
      </w:pPr>
      <w:bookmarkStart w:id="10" w:name="_Toc17666"/>
      <w:bookmarkStart w:id="11" w:name="_Toc18767"/>
      <w:bookmarkStart w:id="12" w:name="_Toc37443568"/>
      <w:bookmarkStart w:id="13" w:name="_Toc2977"/>
      <w:bookmarkStart w:id="14" w:name="_Toc26863"/>
      <w:bookmarkStart w:id="15" w:name="_Toc14716"/>
      <w:bookmarkStart w:id="16" w:name="_Toc40387018"/>
      <w:r>
        <w:rPr>
          <w:lang w:val="en-US" w:eastAsia="zh-CN"/>
        </w:rPr>
        <w:t xml:space="preserve">DCI 3_0 aligns with DCI </w:t>
      </w:r>
      <w:r>
        <w:rPr>
          <w:rFonts w:hint="eastAsia"/>
          <w:lang w:val="en-US" w:eastAsia="zh-CN"/>
        </w:rPr>
        <w:t>0</w:t>
      </w:r>
      <w:r>
        <w:rPr>
          <w:lang w:val="en-US" w:eastAsia="zh-CN"/>
        </w:rPr>
        <w:t>_1</w:t>
      </w:r>
      <w:r>
        <w:rPr>
          <w:rFonts w:hint="eastAsia"/>
          <w:lang w:val="en-US" w:eastAsia="zh-CN"/>
        </w:rPr>
        <w:t xml:space="preserve"> by zero padding when the DCI size budget is not satisfied. UE does not expect </w:t>
      </w:r>
      <w:r>
        <w:rPr>
          <w:lang w:val="en-US" w:eastAsia="zh-CN"/>
        </w:rPr>
        <w:t>both of following two conditions are met at the same time:</w:t>
      </w:r>
      <w:bookmarkEnd w:id="10"/>
      <w:bookmarkEnd w:id="11"/>
      <w:bookmarkEnd w:id="12"/>
      <w:bookmarkEnd w:id="13"/>
      <w:bookmarkEnd w:id="14"/>
      <w:bookmarkEnd w:id="15"/>
      <w:bookmarkEnd w:id="16"/>
      <w:r>
        <w:rPr>
          <w:lang w:val="en-US" w:eastAsia="zh-CN"/>
        </w:rPr>
        <w:t xml:space="preserve"> </w:t>
      </w:r>
    </w:p>
    <w:p w:rsidR="00634D19" w:rsidRDefault="007F7E79" w:rsidP="00ED0DA6">
      <w:pPr>
        <w:pStyle w:val="YJ-Proposal"/>
        <w:numPr>
          <w:ilvl w:val="0"/>
          <w:numId w:val="17"/>
        </w:numPr>
        <w:spacing w:before="120" w:after="120"/>
        <w:jc w:val="left"/>
        <w:rPr>
          <w:lang w:val="en-US" w:eastAsia="zh-CN"/>
        </w:rPr>
      </w:pPr>
      <w:bookmarkStart w:id="17" w:name="_Toc23241"/>
      <w:bookmarkStart w:id="18" w:name="_Toc12194"/>
      <w:bookmarkStart w:id="19" w:name="_Toc26485"/>
      <w:bookmarkStart w:id="20" w:name="_Toc2243"/>
      <w:bookmarkStart w:id="21" w:name="_Toc8884"/>
      <w:bookmarkStart w:id="22" w:name="_Toc37443569"/>
      <w:bookmarkStart w:id="23" w:name="_Toc40387019"/>
      <w:r>
        <w:rPr>
          <w:lang w:val="en-US" w:eastAsia="zh-CN"/>
        </w:rPr>
        <w:t xml:space="preserve">The </w:t>
      </w:r>
      <w:r>
        <w:rPr>
          <w:rFonts w:hint="eastAsia"/>
          <w:lang w:val="en-US" w:eastAsia="zh-CN"/>
        </w:rPr>
        <w:t xml:space="preserve">size of DCI 0_1 is smaller than </w:t>
      </w:r>
      <w:r>
        <w:rPr>
          <w:lang w:val="en-US" w:eastAsia="zh-CN"/>
        </w:rPr>
        <w:t xml:space="preserve">that of </w:t>
      </w:r>
      <w:r>
        <w:rPr>
          <w:rFonts w:hint="eastAsia"/>
          <w:lang w:val="en-US" w:eastAsia="zh-CN"/>
        </w:rPr>
        <w:t>DCI 3_0.</w:t>
      </w:r>
      <w:bookmarkEnd w:id="17"/>
      <w:bookmarkEnd w:id="18"/>
      <w:bookmarkEnd w:id="19"/>
      <w:bookmarkEnd w:id="20"/>
      <w:bookmarkEnd w:id="21"/>
      <w:bookmarkEnd w:id="22"/>
      <w:bookmarkEnd w:id="23"/>
    </w:p>
    <w:p w:rsidR="00634D19" w:rsidRDefault="007F7E79" w:rsidP="00ED0DA6">
      <w:pPr>
        <w:pStyle w:val="YJ-Proposal"/>
        <w:numPr>
          <w:ilvl w:val="0"/>
          <w:numId w:val="17"/>
        </w:numPr>
        <w:spacing w:before="120" w:after="120"/>
        <w:jc w:val="left"/>
        <w:rPr>
          <w:szCs w:val="22"/>
          <w:lang w:val="en-US" w:eastAsia="zh-CN"/>
        </w:rPr>
      </w:pPr>
      <w:bookmarkStart w:id="24" w:name="_Toc7020"/>
      <w:bookmarkStart w:id="25" w:name="_Toc5886"/>
      <w:bookmarkStart w:id="26" w:name="_Toc27400"/>
      <w:bookmarkStart w:id="27" w:name="_Toc27802"/>
      <w:bookmarkStart w:id="28" w:name="_Toc37443570"/>
      <w:bookmarkStart w:id="29" w:name="_Toc8013"/>
      <w:bookmarkStart w:id="30" w:name="_Toc40387020"/>
      <w:r>
        <w:rPr>
          <w:rFonts w:hint="eastAsia"/>
          <w:szCs w:val="22"/>
          <w:lang w:val="en-US" w:eastAsia="zh-CN"/>
        </w:rPr>
        <w:t>The number of different DCI sizes exceeds the DCI size budget.</w:t>
      </w:r>
      <w:bookmarkEnd w:id="24"/>
      <w:bookmarkEnd w:id="25"/>
      <w:bookmarkEnd w:id="26"/>
      <w:bookmarkEnd w:id="27"/>
      <w:bookmarkEnd w:id="28"/>
      <w:bookmarkEnd w:id="29"/>
      <w:bookmarkEnd w:id="30"/>
    </w:p>
    <w:p w:rsidR="00634D19" w:rsidRDefault="007F7E79">
      <w:pPr>
        <w:pStyle w:val="Heading2"/>
        <w:spacing w:before="120" w:after="120"/>
        <w:ind w:left="991" w:right="210" w:hangingChars="354" w:hanging="991"/>
        <w:rPr>
          <w:rFonts w:ascii="Times New Roman" w:eastAsia="宋体" w:hAnsi="Times New Roman"/>
        </w:rPr>
      </w:pPr>
      <w:r>
        <w:rPr>
          <w:rFonts w:ascii="Times New Roman" w:hAnsi="Times New Roman"/>
        </w:rPr>
        <w:t>PUCCH resource for DG</w:t>
      </w:r>
    </w:p>
    <w:p w:rsidR="00634D19" w:rsidRDefault="007F7E79">
      <w:pPr>
        <w:spacing w:before="120" w:after="120"/>
        <w:rPr>
          <w:sz w:val="20"/>
          <w:szCs w:val="22"/>
        </w:rPr>
      </w:pPr>
      <w:r>
        <w:rPr>
          <w:rFonts w:hint="eastAsia"/>
          <w:sz w:val="20"/>
          <w:szCs w:val="22"/>
          <w:lang w:eastAsia="ja-JP"/>
        </w:rPr>
        <w:t xml:space="preserve">A dynamic grant </w:t>
      </w:r>
      <w:r>
        <w:rPr>
          <w:rFonts w:hint="eastAsia"/>
          <w:sz w:val="20"/>
          <w:szCs w:val="22"/>
        </w:rPr>
        <w:t xml:space="preserve">can </w:t>
      </w:r>
      <w:r>
        <w:rPr>
          <w:rFonts w:hint="eastAsia"/>
          <w:sz w:val="20"/>
          <w:szCs w:val="22"/>
          <w:lang w:eastAsia="ja-JP"/>
        </w:rPr>
        <w:t xml:space="preserve">provide resources for </w:t>
      </w:r>
      <w:r>
        <w:rPr>
          <w:rFonts w:hint="eastAsia"/>
          <w:sz w:val="20"/>
          <w:szCs w:val="22"/>
        </w:rPr>
        <w:t>more than one</w:t>
      </w:r>
      <w:r>
        <w:rPr>
          <w:rFonts w:hint="eastAsia"/>
          <w:sz w:val="20"/>
          <w:szCs w:val="22"/>
          <w:lang w:eastAsia="ja-JP"/>
        </w:rPr>
        <w:t xml:space="preserve"> sidelink transmissions of a single TB</w:t>
      </w:r>
      <w:r>
        <w:rPr>
          <w:rFonts w:hint="eastAsia"/>
          <w:sz w:val="20"/>
          <w:szCs w:val="22"/>
        </w:rPr>
        <w:t xml:space="preserve">, although some companies argue that it brings more scheduling flexibility if PUCCH resources are provided for each of the transmission, it will lead to more significant signal overhead. So for a dynamic grant in mode 1, when using SL HARQ feedback, only </w:t>
      </w:r>
      <w:r>
        <w:rPr>
          <w:rFonts w:hint="eastAsia"/>
          <w:sz w:val="20"/>
          <w:szCs w:val="22"/>
        </w:rPr>
        <w:lastRenderedPageBreak/>
        <w:t>one bit is generated and only one PUCCH transmission occasion after the last transmission is provided, which is consistent with the agreement of configured grant in mode 1 when using SL HARQ feedback.</w:t>
      </w:r>
    </w:p>
    <w:p w:rsidR="00634D19" w:rsidRDefault="007F7E79">
      <w:pPr>
        <w:pStyle w:val="YJ-Proposal"/>
        <w:spacing w:before="120" w:after="120"/>
        <w:rPr>
          <w:szCs w:val="22"/>
          <w:lang w:eastAsia="ja-JP"/>
        </w:rPr>
      </w:pPr>
      <w:bookmarkStart w:id="31" w:name="_Toc11395"/>
      <w:bookmarkStart w:id="32" w:name="_Toc14563"/>
      <w:bookmarkStart w:id="33" w:name="_Toc2175"/>
      <w:bookmarkStart w:id="34" w:name="_Toc13661"/>
      <w:bookmarkStart w:id="35" w:name="_Toc24672"/>
      <w:bookmarkStart w:id="36" w:name="_Toc30099"/>
      <w:bookmarkStart w:id="37" w:name="_Toc29700"/>
      <w:bookmarkStart w:id="38" w:name="_Toc30311"/>
      <w:bookmarkStart w:id="39" w:name="_Toc20606"/>
      <w:bookmarkStart w:id="40" w:name="_Toc22394"/>
      <w:bookmarkStart w:id="41" w:name="_Toc24121"/>
      <w:bookmarkStart w:id="42" w:name="_Toc29494"/>
      <w:bookmarkStart w:id="43" w:name="_Toc10217"/>
      <w:bookmarkStart w:id="44" w:name="_Toc32453"/>
      <w:bookmarkStart w:id="45" w:name="_Toc11505"/>
      <w:bookmarkStart w:id="46" w:name="_Toc9134"/>
      <w:bookmarkStart w:id="47" w:name="_Toc29228"/>
      <w:bookmarkStart w:id="48" w:name="_Toc21729"/>
      <w:bookmarkStart w:id="49" w:name="_Toc2126"/>
      <w:bookmarkStart w:id="50" w:name="_Toc13555"/>
      <w:bookmarkStart w:id="51" w:name="_Toc40387021"/>
      <w:r>
        <w:rPr>
          <w:szCs w:val="22"/>
          <w:lang w:eastAsia="ja-JP"/>
        </w:rPr>
        <w:t>For a dynamic grant in Mode 1, when using SL HARQ feedback:</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34D19" w:rsidRDefault="007F7E79">
      <w:pPr>
        <w:pStyle w:val="sub-proposal"/>
        <w:spacing w:before="120" w:after="120"/>
        <w:rPr>
          <w:szCs w:val="22"/>
          <w:lang w:val="en-US" w:eastAsia="ja-JP"/>
        </w:rPr>
      </w:pPr>
      <w:bookmarkStart w:id="52" w:name="_Toc21797"/>
      <w:bookmarkStart w:id="53" w:name="_Toc15363"/>
      <w:bookmarkStart w:id="54" w:name="_Toc28117"/>
      <w:bookmarkStart w:id="55" w:name="_Toc2815"/>
      <w:bookmarkStart w:id="56" w:name="_Toc15180"/>
      <w:bookmarkStart w:id="57" w:name="_Toc7224"/>
      <w:bookmarkStart w:id="58" w:name="_Toc15534"/>
      <w:bookmarkStart w:id="59" w:name="_Toc28940"/>
      <w:bookmarkStart w:id="60" w:name="_Toc18121"/>
      <w:bookmarkStart w:id="61" w:name="_Toc30850"/>
      <w:bookmarkStart w:id="62" w:name="_Toc14510"/>
      <w:bookmarkStart w:id="63" w:name="_Toc29483"/>
      <w:bookmarkStart w:id="64" w:name="_Toc27001"/>
      <w:bookmarkStart w:id="65" w:name="_Toc17037"/>
      <w:bookmarkStart w:id="66" w:name="_Toc15857"/>
      <w:bookmarkStart w:id="67" w:name="_Toc1110"/>
      <w:bookmarkStart w:id="68" w:name="_Toc7746"/>
      <w:bookmarkStart w:id="69" w:name="_Toc22770"/>
      <w:bookmarkStart w:id="70" w:name="_Toc20253"/>
      <w:bookmarkStart w:id="71" w:name="_Toc25922"/>
      <w:bookmarkStart w:id="72" w:name="_Toc40387022"/>
      <w:r>
        <w:rPr>
          <w:szCs w:val="22"/>
          <w:lang w:val="en-US" w:eastAsia="ja-JP"/>
        </w:rPr>
        <w:t xml:space="preserve">There is only one HARQ-ACK bit for the </w:t>
      </w:r>
      <w:r>
        <w:rPr>
          <w:szCs w:val="22"/>
          <w:lang w:val="en-US" w:eastAsia="zh-CN"/>
        </w:rPr>
        <w:t xml:space="preserve">dynamic </w:t>
      </w:r>
      <w:r>
        <w:rPr>
          <w:szCs w:val="22"/>
          <w:lang w:val="en-US" w:eastAsia="ja-JP"/>
        </w:rPr>
        <w:t>grant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634D19" w:rsidRDefault="007F7E79">
      <w:pPr>
        <w:pStyle w:val="sub-proposal"/>
        <w:spacing w:before="120" w:after="120"/>
        <w:rPr>
          <w:szCs w:val="22"/>
          <w:lang w:val="en-US" w:eastAsia="ja-JP"/>
        </w:rPr>
      </w:pPr>
      <w:bookmarkStart w:id="73" w:name="_Toc31296"/>
      <w:bookmarkStart w:id="74" w:name="_Toc11727"/>
      <w:bookmarkStart w:id="75" w:name="_Toc2907"/>
      <w:bookmarkStart w:id="76" w:name="_Toc2585"/>
      <w:bookmarkStart w:id="77" w:name="_Toc10197"/>
      <w:bookmarkStart w:id="78" w:name="_Toc20328"/>
      <w:bookmarkStart w:id="79" w:name="_Toc17891"/>
      <w:bookmarkStart w:id="80" w:name="_Toc10032"/>
      <w:bookmarkStart w:id="81" w:name="_Toc25338"/>
      <w:bookmarkStart w:id="82" w:name="_Toc31559"/>
      <w:bookmarkStart w:id="83" w:name="_Toc16899"/>
      <w:bookmarkStart w:id="84" w:name="_Toc615"/>
      <w:bookmarkStart w:id="85" w:name="_Toc30991"/>
      <w:bookmarkStart w:id="86" w:name="_Toc5222"/>
      <w:bookmarkStart w:id="87" w:name="_Toc8452"/>
      <w:bookmarkStart w:id="88" w:name="_Toc21718"/>
      <w:bookmarkStart w:id="89" w:name="_Toc10005"/>
      <w:bookmarkStart w:id="90" w:name="_Toc3756"/>
      <w:bookmarkStart w:id="91" w:name="_Toc22689"/>
      <w:bookmarkStart w:id="92" w:name="_Toc516"/>
      <w:bookmarkStart w:id="93" w:name="_Toc40387023"/>
      <w:r>
        <w:rPr>
          <w:szCs w:val="22"/>
          <w:lang w:val="en-US" w:eastAsia="ja-JP"/>
        </w:rPr>
        <w:t>There is one PUCCH transmission occasion after the last resource provided by the grant.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34D19" w:rsidRDefault="007F7E79">
      <w:pPr>
        <w:pStyle w:val="Heading2"/>
        <w:spacing w:before="120" w:after="120"/>
        <w:ind w:left="991" w:right="210" w:hangingChars="354" w:hanging="991"/>
        <w:rPr>
          <w:rFonts w:ascii="Times New Roman" w:eastAsia="宋体" w:hAnsi="Times New Roman"/>
        </w:rPr>
      </w:pPr>
      <w:r>
        <w:rPr>
          <w:rFonts w:ascii="Times New Roman" w:hAnsi="Times New Roman"/>
          <w:lang w:eastAsia="ko-KR"/>
        </w:rPr>
        <w:t xml:space="preserve">Timing determination for </w:t>
      </w:r>
      <w:r>
        <w:rPr>
          <w:rFonts w:ascii="Times New Roman" w:eastAsia="宋体" w:hAnsi="Times New Roman"/>
        </w:rPr>
        <w:t>CG type</w:t>
      </w:r>
      <w:r>
        <w:rPr>
          <w:rFonts w:ascii="Times New Roman" w:eastAsia="宋体" w:hAnsi="Times New Roman" w:hint="eastAsia"/>
        </w:rPr>
        <w:t>-</w:t>
      </w:r>
      <w:r>
        <w:rPr>
          <w:rFonts w:ascii="Times New Roman" w:eastAsia="宋体" w:hAnsi="Times New Roman"/>
        </w:rPr>
        <w:t>1 SL transmission</w:t>
      </w:r>
    </w:p>
    <w:tbl>
      <w:tblPr>
        <w:tblStyle w:val="TableGrid"/>
        <w:tblW w:w="9876" w:type="dxa"/>
        <w:tblLayout w:type="fixed"/>
        <w:tblLook w:val="04A0"/>
      </w:tblPr>
      <w:tblGrid>
        <w:gridCol w:w="9876"/>
      </w:tblGrid>
      <w:tr w:rsidR="00634D19">
        <w:tc>
          <w:tcPr>
            <w:tcW w:w="9876" w:type="dxa"/>
          </w:tcPr>
          <w:p w:rsidR="00634D19" w:rsidRDefault="007F7E79" w:rsidP="00B847C9">
            <w:pPr>
              <w:spacing w:beforeLines="0" w:afterLines="0"/>
              <w:rPr>
                <w:highlight w:val="green"/>
                <w:lang w:eastAsia="ja-JP"/>
              </w:rPr>
            </w:pPr>
            <w:r>
              <w:rPr>
                <w:highlight w:val="green"/>
                <w:lang w:eastAsia="ja-JP"/>
              </w:rPr>
              <w:t>Agreements:</w:t>
            </w:r>
          </w:p>
          <w:p w:rsidR="00634D19" w:rsidRDefault="007F7E79" w:rsidP="00B847C9">
            <w:pPr>
              <w:numPr>
                <w:ilvl w:val="0"/>
                <w:numId w:val="9"/>
              </w:numPr>
              <w:spacing w:beforeLines="0" w:afterLines="0"/>
            </w:pPr>
            <w:r>
              <w:t xml:space="preserve">The slots for sidelink transmission for CG type-1 are determined using the UL formula in 38.321 with the following changes: </w:t>
            </w:r>
          </w:p>
          <w:p w:rsidR="00634D19" w:rsidRDefault="007F7E79" w:rsidP="00B847C9">
            <w:pPr>
              <w:numPr>
                <w:ilvl w:val="1"/>
                <w:numId w:val="9"/>
              </w:numPr>
              <w:spacing w:beforeLines="0" w:afterLines="0"/>
            </w:pPr>
            <w:r>
              <w:t xml:space="preserve">Using slot-level granularity instead of symbol-level granularity (i.e., remove </w:t>
            </w:r>
            <w:r>
              <w:rPr>
                <w:i/>
                <w:iCs/>
                <w:lang w:eastAsia="ko-KR"/>
              </w:rPr>
              <w:t>numberOfSymbolsPerSlot</w:t>
            </w:r>
            <w:r>
              <w:rPr>
                <w:lang w:eastAsia="ko-KR"/>
              </w:rPr>
              <w:t>, “symbol number in the slot”, S in the formula)</w:t>
            </w:r>
          </w:p>
          <w:p w:rsidR="00634D19" w:rsidRDefault="007F7E79" w:rsidP="00B847C9">
            <w:pPr>
              <w:numPr>
                <w:ilvl w:val="1"/>
                <w:numId w:val="9"/>
              </w:numPr>
              <w:spacing w:beforeLines="0" w:afterLines="0"/>
            </w:pPr>
            <w:r>
              <w:rPr>
                <w:i/>
                <w:iCs/>
                <w:lang w:eastAsia="ko-KR"/>
              </w:rPr>
              <w:t>periodicity</w:t>
            </w:r>
            <w:r>
              <w:rPr>
                <w:lang w:eastAsia="ko-KR"/>
              </w:rPr>
              <w:t xml:space="preserve"> is in number of slots</w:t>
            </w:r>
          </w:p>
          <w:p w:rsidR="00634D19" w:rsidRDefault="007F7E79" w:rsidP="00B847C9">
            <w:pPr>
              <w:numPr>
                <w:ilvl w:val="1"/>
                <w:numId w:val="9"/>
              </w:numPr>
              <w:spacing w:beforeLines="0" w:afterLines="0"/>
            </w:pPr>
            <w:r>
              <w:rPr>
                <w:i/>
                <w:iCs/>
                <w:lang w:eastAsia="ko-KR"/>
              </w:rPr>
              <w:t>timeDomainOffset</w:t>
            </w:r>
            <w:r>
              <w:rPr>
                <w:lang w:eastAsia="ko-KR"/>
              </w:rPr>
              <w:t xml:space="preserve"> is expressed in number of slots</w:t>
            </w:r>
          </w:p>
          <w:p w:rsidR="00634D19" w:rsidRDefault="007F7E79" w:rsidP="00B847C9">
            <w:pPr>
              <w:numPr>
                <w:ilvl w:val="1"/>
                <w:numId w:val="9"/>
              </w:numPr>
              <w:spacing w:beforeLines="0" w:afterLines="0"/>
            </w:pPr>
            <w:r>
              <w:rPr>
                <w:highlight w:val="yellow"/>
              </w:rPr>
              <w:t>FFS</w:t>
            </w:r>
            <w:r>
              <w:t>: frame indexing (e.g., SFN, or virtual frame number)</w:t>
            </w:r>
          </w:p>
          <w:p w:rsidR="00634D19" w:rsidRDefault="007F7E79" w:rsidP="00B847C9">
            <w:pPr>
              <w:numPr>
                <w:ilvl w:val="1"/>
                <w:numId w:val="9"/>
              </w:numPr>
              <w:spacing w:beforeLines="0" w:afterLines="0"/>
            </w:pPr>
            <w:r>
              <w:rPr>
                <w:highlight w:val="yellow"/>
              </w:rPr>
              <w:t>FFS</w:t>
            </w:r>
            <w:r>
              <w:t>: whether logical or physical slots are used</w:t>
            </w:r>
          </w:p>
        </w:tc>
      </w:tr>
    </w:tbl>
    <w:p w:rsidR="00634D19" w:rsidRDefault="007F7E79">
      <w:pPr>
        <w:spacing w:before="120" w:after="120"/>
        <w:rPr>
          <w:sz w:val="20"/>
          <w:szCs w:val="22"/>
        </w:rPr>
      </w:pPr>
      <w:r>
        <w:rPr>
          <w:rFonts w:hint="eastAsia"/>
          <w:sz w:val="20"/>
          <w:szCs w:val="22"/>
        </w:rPr>
        <w:t xml:space="preserve">When DL Rx timing is used for sidelink UE, the SFN is used to derive the </w:t>
      </w:r>
      <w:r w:rsidR="00D37B6E">
        <w:rPr>
          <w:rFonts w:hint="eastAsia"/>
          <w:sz w:val="20"/>
          <w:szCs w:val="22"/>
        </w:rPr>
        <w:t>sidelink frame number</w:t>
      </w:r>
      <w:r w:rsidR="00D37B6E">
        <w:rPr>
          <w:sz w:val="20"/>
          <w:szCs w:val="22"/>
        </w:rPr>
        <w:t>;</w:t>
      </w:r>
      <w:r>
        <w:rPr>
          <w:rFonts w:hint="eastAsia"/>
          <w:sz w:val="20"/>
          <w:szCs w:val="22"/>
        </w:rPr>
        <w:t xml:space="preserve"> when GNSS is used for sidelink UE alternatively, </w:t>
      </w:r>
      <w:r w:rsidR="006433FB">
        <w:rPr>
          <w:sz w:val="20"/>
          <w:szCs w:val="22"/>
        </w:rPr>
        <w:t>the</w:t>
      </w:r>
      <w:r w:rsidR="006433FB">
        <w:rPr>
          <w:rFonts w:hint="eastAsia"/>
          <w:sz w:val="20"/>
          <w:szCs w:val="22"/>
        </w:rPr>
        <w:t xml:space="preserve"> UE </w:t>
      </w:r>
      <w:r>
        <w:rPr>
          <w:rFonts w:hint="eastAsia"/>
          <w:sz w:val="20"/>
          <w:szCs w:val="22"/>
        </w:rPr>
        <w:t>determine</w:t>
      </w:r>
      <w:r w:rsidR="006433FB">
        <w:rPr>
          <w:sz w:val="20"/>
          <w:szCs w:val="22"/>
        </w:rPr>
        <w:t>s</w:t>
      </w:r>
      <w:r w:rsidR="006433FB">
        <w:rPr>
          <w:rFonts w:hint="eastAsia"/>
          <w:sz w:val="20"/>
          <w:szCs w:val="22"/>
        </w:rPr>
        <w:t xml:space="preserve"> </w:t>
      </w:r>
      <w:r>
        <w:rPr>
          <w:rFonts w:hint="eastAsia"/>
          <w:sz w:val="20"/>
          <w:szCs w:val="22"/>
        </w:rPr>
        <w:t xml:space="preserve">DFN and slot number according </w:t>
      </w:r>
      <w:r w:rsidR="006433FB">
        <w:rPr>
          <w:rFonts w:hint="eastAsia"/>
          <w:sz w:val="20"/>
          <w:szCs w:val="22"/>
        </w:rPr>
        <w:t xml:space="preserve">to the </w:t>
      </w:r>
      <w:r w:rsidR="00D37B6E">
        <w:rPr>
          <w:rFonts w:hint="eastAsia"/>
          <w:sz w:val="20"/>
          <w:szCs w:val="22"/>
        </w:rPr>
        <w:t>follow</w:t>
      </w:r>
      <w:r w:rsidR="006433FB">
        <w:rPr>
          <w:sz w:val="20"/>
          <w:szCs w:val="22"/>
        </w:rPr>
        <w:t>ing</w:t>
      </w:r>
      <w:r>
        <w:rPr>
          <w:rFonts w:hint="eastAsia"/>
          <w:sz w:val="20"/>
          <w:szCs w:val="22"/>
        </w:rPr>
        <w:t>:</w:t>
      </w:r>
    </w:p>
    <w:p w:rsidR="006433FB" w:rsidRPr="004624B4" w:rsidRDefault="006433FB" w:rsidP="004624B4">
      <w:pPr>
        <w:pStyle w:val="BodyText"/>
        <w:spacing w:beforeLines="0" w:afterLines="0"/>
        <w:ind w:left="418"/>
        <w:rPr>
          <w:rFonts w:eastAsia="宋体"/>
          <w:i/>
          <w:iCs/>
          <w:sz w:val="20"/>
        </w:rPr>
      </w:pPr>
      <w:r w:rsidRPr="004624B4">
        <w:rPr>
          <w:rFonts w:eastAsia="宋体"/>
          <w:i/>
          <w:iCs/>
          <w:sz w:val="20"/>
        </w:rPr>
        <w:t>DFN= Floor (0.1*(Tcurrent –Tref–offsetDFN)) mod 1024</w:t>
      </w:r>
    </w:p>
    <w:p w:rsidR="006433FB" w:rsidRPr="004624B4" w:rsidRDefault="006433FB" w:rsidP="004624B4">
      <w:pPr>
        <w:pStyle w:val="BodyText"/>
        <w:tabs>
          <w:tab w:val="left" w:pos="3656"/>
        </w:tabs>
        <w:spacing w:beforeLines="0" w:afterLines="0"/>
        <w:ind w:left="418"/>
        <w:rPr>
          <w:rFonts w:eastAsia="宋体"/>
          <w:i/>
          <w:iCs/>
          <w:sz w:val="20"/>
        </w:rPr>
      </w:pPr>
      <w:r w:rsidRPr="004624B4">
        <w:rPr>
          <w:rFonts w:eastAsia="宋体"/>
          <w:i/>
          <w:iCs/>
          <w:sz w:val="20"/>
        </w:rPr>
        <w:t>SlotNumber=</w:t>
      </w:r>
      <w:r w:rsidRPr="004624B4">
        <w:rPr>
          <w:rFonts w:eastAsia="宋体"/>
          <w:sz w:val="20"/>
        </w:rPr>
        <w:t xml:space="preserve"> Floor</w:t>
      </w:r>
      <w:r w:rsidRPr="004624B4">
        <w:rPr>
          <w:rFonts w:eastAsia="宋体"/>
          <w:i/>
          <w:iCs/>
          <w:sz w:val="20"/>
        </w:rPr>
        <w:t xml:space="preserve"> ((Tcurrent –Tref–offsetDFN)*</w:t>
      </w:r>
      <w:r w:rsidRPr="004624B4">
        <w:rPr>
          <w:rFonts w:eastAsia="宋体"/>
          <w:sz w:val="20"/>
        </w:rPr>
        <w:t>2</w:t>
      </w:r>
      <w:r w:rsidRPr="004624B4">
        <w:rPr>
          <w:rFonts w:eastAsia="宋体"/>
          <w:sz w:val="20"/>
          <w:vertAlign w:val="superscript"/>
        </w:rPr>
        <w:t>μ</w:t>
      </w:r>
      <w:r w:rsidRPr="004624B4">
        <w:rPr>
          <w:rFonts w:eastAsia="宋体"/>
          <w:i/>
          <w:iCs/>
          <w:sz w:val="20"/>
        </w:rPr>
        <w:t xml:space="preserve">) </w:t>
      </w:r>
      <w:r w:rsidRPr="004624B4">
        <w:rPr>
          <w:rFonts w:eastAsia="宋体"/>
          <w:sz w:val="20"/>
        </w:rPr>
        <w:t>mod</w:t>
      </w:r>
      <w:r w:rsidRPr="004624B4">
        <w:rPr>
          <w:rFonts w:eastAsia="宋体"/>
          <w:i/>
          <w:iCs/>
          <w:sz w:val="20"/>
        </w:rPr>
        <w:t xml:space="preserve"> (</w:t>
      </w:r>
      <w:r w:rsidRPr="004624B4">
        <w:rPr>
          <w:rFonts w:eastAsia="宋体"/>
          <w:sz w:val="20"/>
        </w:rPr>
        <w:t>10</w:t>
      </w:r>
      <w:r w:rsidRPr="004624B4">
        <w:rPr>
          <w:rFonts w:eastAsia="宋体"/>
          <w:i/>
          <w:iCs/>
          <w:sz w:val="20"/>
        </w:rPr>
        <w:t>*</w:t>
      </w:r>
      <w:r w:rsidRPr="004624B4">
        <w:rPr>
          <w:rFonts w:eastAsia="宋体"/>
          <w:sz w:val="20"/>
        </w:rPr>
        <w:t>2</w:t>
      </w:r>
      <w:r w:rsidRPr="004624B4">
        <w:rPr>
          <w:rFonts w:eastAsia="宋体"/>
          <w:sz w:val="20"/>
          <w:vertAlign w:val="superscript"/>
        </w:rPr>
        <w:t>μ</w:t>
      </w:r>
      <w:r w:rsidRPr="004624B4">
        <w:rPr>
          <w:rFonts w:eastAsia="宋体"/>
          <w:i/>
          <w:iCs/>
          <w:sz w:val="20"/>
        </w:rPr>
        <w:t>)</w:t>
      </w:r>
    </w:p>
    <w:p w:rsidR="00634D19" w:rsidRPr="001F36CB" w:rsidRDefault="006433FB">
      <w:pPr>
        <w:spacing w:before="120" w:after="120"/>
        <w:rPr>
          <w:sz w:val="20"/>
          <w:szCs w:val="22"/>
        </w:rPr>
      </w:pPr>
      <w:r>
        <w:rPr>
          <w:sz w:val="20"/>
          <w:szCs w:val="22"/>
        </w:rPr>
        <w:t>w</w:t>
      </w:r>
      <w:r>
        <w:rPr>
          <w:rFonts w:hint="eastAsia"/>
          <w:sz w:val="20"/>
          <w:szCs w:val="22"/>
        </w:rPr>
        <w:t>here Tcurrent</w:t>
      </w:r>
      <w:r w:rsidR="004624B4">
        <w:rPr>
          <w:sz w:val="20"/>
          <w:szCs w:val="22"/>
        </w:rPr>
        <w:t>(current UTC time)</w:t>
      </w:r>
      <w:r>
        <w:rPr>
          <w:rFonts w:hint="eastAsia"/>
          <w:sz w:val="20"/>
          <w:szCs w:val="22"/>
        </w:rPr>
        <w:t>, Tref</w:t>
      </w:r>
      <w:r w:rsidR="004624B4">
        <w:rPr>
          <w:sz w:val="20"/>
          <w:szCs w:val="22"/>
        </w:rPr>
        <w:t>(reference UTC time)</w:t>
      </w:r>
      <w:r>
        <w:rPr>
          <w:sz w:val="20"/>
          <w:szCs w:val="22"/>
        </w:rPr>
        <w:t xml:space="preserve"> and</w:t>
      </w:r>
      <w:r w:rsidR="007F7E79">
        <w:rPr>
          <w:rFonts w:hint="eastAsia"/>
          <w:sz w:val="20"/>
          <w:szCs w:val="22"/>
        </w:rPr>
        <w:t xml:space="preserve"> offsetDFN </w:t>
      </w:r>
      <w:r w:rsidR="004624B4">
        <w:rPr>
          <w:sz w:val="20"/>
          <w:szCs w:val="22"/>
        </w:rPr>
        <w:t xml:space="preserve">(range from 0 to 1ms) </w:t>
      </w:r>
      <w:r w:rsidR="004624B4">
        <w:rPr>
          <w:rFonts w:hint="eastAsia"/>
          <w:sz w:val="20"/>
          <w:szCs w:val="22"/>
        </w:rPr>
        <w:t xml:space="preserve">are defined in </w:t>
      </w:r>
      <w:r w:rsidR="004624B4" w:rsidRPr="001F36CB">
        <w:rPr>
          <w:sz w:val="20"/>
          <w:szCs w:val="22"/>
        </w:rPr>
        <w:t>TS</w:t>
      </w:r>
      <w:r w:rsidR="007F7E79" w:rsidRPr="001F36CB">
        <w:rPr>
          <w:sz w:val="20"/>
          <w:szCs w:val="22"/>
        </w:rPr>
        <w:t xml:space="preserve">38.331, and μ=0/1/2/3 corresponding to the </w:t>
      </w:r>
      <w:r w:rsidRPr="001F36CB">
        <w:rPr>
          <w:sz w:val="20"/>
          <w:szCs w:val="22"/>
        </w:rPr>
        <w:t>SL SCS</w:t>
      </w:r>
      <w:r w:rsidR="007F7E79" w:rsidRPr="001F36CB">
        <w:rPr>
          <w:sz w:val="20"/>
          <w:szCs w:val="22"/>
        </w:rPr>
        <w:t xml:space="preserve">. </w:t>
      </w:r>
    </w:p>
    <w:p w:rsidR="00634D19" w:rsidRPr="001F36CB" w:rsidRDefault="004624B4">
      <w:pPr>
        <w:spacing w:before="120" w:after="120"/>
        <w:rPr>
          <w:sz w:val="20"/>
          <w:szCs w:val="22"/>
        </w:rPr>
      </w:pPr>
      <w:r w:rsidRPr="001F36CB">
        <w:rPr>
          <w:sz w:val="20"/>
          <w:szCs w:val="22"/>
        </w:rPr>
        <w:t>It</w:t>
      </w:r>
      <w:r w:rsidR="007F7E79" w:rsidRPr="001F36CB">
        <w:rPr>
          <w:sz w:val="20"/>
          <w:szCs w:val="22"/>
        </w:rPr>
        <w:t xml:space="preserve"> can be seen that </w:t>
      </w:r>
      <w:r w:rsidRPr="001F36CB">
        <w:rPr>
          <w:sz w:val="20"/>
          <w:szCs w:val="22"/>
        </w:rPr>
        <w:t>the DFN may be different from</w:t>
      </w:r>
      <w:r w:rsidR="007F7E79" w:rsidRPr="001F36CB">
        <w:rPr>
          <w:sz w:val="20"/>
          <w:szCs w:val="22"/>
        </w:rPr>
        <w:t xml:space="preserve"> SFN. If gNB do not know the timing used </w:t>
      </w:r>
      <w:r w:rsidRPr="001F36CB">
        <w:rPr>
          <w:sz w:val="20"/>
          <w:szCs w:val="22"/>
        </w:rPr>
        <w:t>on</w:t>
      </w:r>
      <w:r w:rsidR="007F7E79" w:rsidRPr="001F36CB">
        <w:rPr>
          <w:sz w:val="20"/>
          <w:szCs w:val="22"/>
        </w:rPr>
        <w:t xml:space="preserve"> sidelink, then for CG type 1, the exact sidelink resource used by UE is unknown to gNB, which makes </w:t>
      </w:r>
      <w:r w:rsidRPr="001F36CB">
        <w:rPr>
          <w:sz w:val="20"/>
          <w:szCs w:val="22"/>
        </w:rPr>
        <w:t>it</w:t>
      </w:r>
      <w:r w:rsidR="007F7E79" w:rsidRPr="001F36CB">
        <w:rPr>
          <w:sz w:val="20"/>
          <w:szCs w:val="22"/>
        </w:rPr>
        <w:t xml:space="preserve"> difficult </w:t>
      </w:r>
      <w:r w:rsidRPr="001F36CB">
        <w:rPr>
          <w:sz w:val="20"/>
          <w:szCs w:val="22"/>
        </w:rPr>
        <w:t xml:space="preserve">for gNB </w:t>
      </w:r>
      <w:r w:rsidR="007F7E79" w:rsidRPr="001F36CB">
        <w:rPr>
          <w:sz w:val="20"/>
          <w:szCs w:val="22"/>
        </w:rPr>
        <w:t xml:space="preserve">to schedule the sidelink resource. So we can assume that in-coverage UE just derive the timing when synchronized to GNSS, but the DFN number and slot number </w:t>
      </w:r>
      <w:r w:rsidRPr="001F36CB">
        <w:rPr>
          <w:sz w:val="20"/>
          <w:szCs w:val="22"/>
        </w:rPr>
        <w:t>are still derived from SFN.</w:t>
      </w:r>
      <w:r w:rsidR="007F7E79" w:rsidRPr="001F36CB">
        <w:rPr>
          <w:sz w:val="20"/>
          <w:szCs w:val="22"/>
        </w:rPr>
        <w:t xml:space="preserve"> </w:t>
      </w:r>
      <w:r w:rsidRPr="001F36CB">
        <w:rPr>
          <w:sz w:val="20"/>
          <w:szCs w:val="22"/>
        </w:rPr>
        <w:t>I</w:t>
      </w:r>
      <w:r w:rsidR="007F7E79" w:rsidRPr="001F36CB">
        <w:rPr>
          <w:sz w:val="20"/>
          <w:szCs w:val="22"/>
        </w:rPr>
        <w:t>n this way gNB and UE can have consistent understanding about the sidelink resource</w:t>
      </w:r>
      <w:r w:rsidRPr="001F36CB">
        <w:rPr>
          <w:sz w:val="20"/>
          <w:szCs w:val="22"/>
        </w:rPr>
        <w:t xml:space="preserve"> and </w:t>
      </w:r>
      <w:r w:rsidR="007F7E79" w:rsidRPr="001F36CB">
        <w:rPr>
          <w:sz w:val="20"/>
          <w:szCs w:val="22"/>
        </w:rPr>
        <w:t>the misalignment between SFN and DFN need</w:t>
      </w:r>
      <w:r w:rsidRPr="001F36CB">
        <w:rPr>
          <w:sz w:val="20"/>
          <w:szCs w:val="22"/>
        </w:rPr>
        <w:t>s</w:t>
      </w:r>
      <w:r w:rsidR="007F7E79" w:rsidRPr="001F36CB">
        <w:rPr>
          <w:sz w:val="20"/>
          <w:szCs w:val="22"/>
        </w:rPr>
        <w:t xml:space="preserve"> not to be considered any more. </w:t>
      </w:r>
    </w:p>
    <w:p w:rsidR="0077124A" w:rsidRDefault="0077124A">
      <w:pPr>
        <w:pStyle w:val="YJ-Proposal"/>
        <w:spacing w:before="120" w:after="120"/>
        <w:rPr>
          <w:lang w:val="en-US" w:eastAsia="zh-CN"/>
        </w:rPr>
      </w:pPr>
      <w:bookmarkStart w:id="94" w:name="_Toc7922"/>
      <w:bookmarkStart w:id="95" w:name="_Toc13479"/>
      <w:bookmarkStart w:id="96" w:name="_Toc9724"/>
      <w:bookmarkStart w:id="97" w:name="_Toc19614"/>
      <w:bookmarkStart w:id="98" w:name="_Toc26398"/>
      <w:bookmarkStart w:id="99" w:name="_Toc4174"/>
      <w:bookmarkStart w:id="100" w:name="_Toc27766"/>
      <w:bookmarkStart w:id="101" w:name="_Toc27130"/>
      <w:bookmarkStart w:id="102" w:name="_Toc40387024"/>
      <w:r>
        <w:rPr>
          <w:lang w:val="en-US" w:eastAsia="zh-CN"/>
        </w:rPr>
        <w:t xml:space="preserve">For in-coverage mode-1 UE (regardless of sync source as gNB or GNSS), </w:t>
      </w:r>
      <w:r w:rsidR="007F7E79">
        <w:rPr>
          <w:rFonts w:hint="eastAsia"/>
          <w:lang w:val="en-US" w:eastAsia="zh-CN"/>
        </w:rPr>
        <w:t xml:space="preserve">SFN </w:t>
      </w:r>
      <w:r>
        <w:rPr>
          <w:rFonts w:hint="eastAsia"/>
          <w:lang w:val="en-US" w:eastAsia="zh-CN"/>
        </w:rPr>
        <w:t xml:space="preserve">is used </w:t>
      </w:r>
      <w:r>
        <w:rPr>
          <w:lang w:val="en-US" w:eastAsia="zh-CN"/>
        </w:rPr>
        <w:t>to derive</w:t>
      </w:r>
      <w:r w:rsidR="007F7E79">
        <w:rPr>
          <w:rFonts w:hint="eastAsia"/>
          <w:lang w:val="en-US" w:eastAsia="zh-CN"/>
        </w:rPr>
        <w:t xml:space="preserve"> </w:t>
      </w:r>
      <w:r>
        <w:rPr>
          <w:lang w:val="en-US" w:eastAsia="zh-CN"/>
        </w:rPr>
        <w:t xml:space="preserve">SL </w:t>
      </w:r>
      <w:r w:rsidR="007F7E79">
        <w:t>frame indexing</w:t>
      </w:r>
      <w:r w:rsidR="007F7E79">
        <w:rPr>
          <w:rFonts w:hint="eastAsia"/>
          <w:lang w:val="en-US" w:eastAsia="zh-CN"/>
        </w:rPr>
        <w:t xml:space="preserve"> when determining resource from CG type 1 grant</w:t>
      </w:r>
      <w:bookmarkEnd w:id="94"/>
      <w:bookmarkEnd w:id="95"/>
      <w:bookmarkEnd w:id="96"/>
      <w:bookmarkEnd w:id="97"/>
      <w:bookmarkEnd w:id="98"/>
      <w:bookmarkEnd w:id="99"/>
      <w:bookmarkEnd w:id="100"/>
      <w:bookmarkEnd w:id="101"/>
      <w:r>
        <w:rPr>
          <w:lang w:val="en-US" w:eastAsia="zh-CN"/>
        </w:rPr>
        <w:t>.</w:t>
      </w:r>
      <w:bookmarkEnd w:id="102"/>
      <w:r>
        <w:rPr>
          <w:lang w:val="en-US" w:eastAsia="zh-CN"/>
        </w:rPr>
        <w:t xml:space="preserve"> </w:t>
      </w:r>
    </w:p>
    <w:p w:rsidR="00634D19" w:rsidRDefault="0077124A" w:rsidP="0077124A">
      <w:pPr>
        <w:pStyle w:val="YJ-Proposal"/>
        <w:numPr>
          <w:ilvl w:val="0"/>
          <w:numId w:val="15"/>
        </w:numPr>
        <w:spacing w:before="120" w:after="120"/>
        <w:rPr>
          <w:lang w:val="en-US" w:eastAsia="zh-CN"/>
        </w:rPr>
      </w:pPr>
      <w:bookmarkStart w:id="103" w:name="_Toc40387025"/>
      <w:r>
        <w:rPr>
          <w:lang w:val="en-US" w:eastAsia="zh-CN"/>
        </w:rPr>
        <w:t>The DFN/SlotNumber formula agreed in Synchronization agenda do not apply to in-coverage UE operating mode-1.</w:t>
      </w:r>
      <w:bookmarkEnd w:id="103"/>
      <w:r>
        <w:rPr>
          <w:lang w:val="en-US" w:eastAsia="zh-CN"/>
        </w:rPr>
        <w:t xml:space="preserve"> </w:t>
      </w:r>
    </w:p>
    <w:p w:rsidR="00634D19" w:rsidRDefault="007F7E79">
      <w:pPr>
        <w:spacing w:before="120" w:after="120"/>
        <w:rPr>
          <w:sz w:val="20"/>
          <w:szCs w:val="22"/>
        </w:rPr>
      </w:pPr>
      <w:r>
        <w:rPr>
          <w:rFonts w:hint="eastAsia"/>
          <w:sz w:val="20"/>
          <w:szCs w:val="22"/>
        </w:rPr>
        <w:t xml:space="preserve">Another </w:t>
      </w:r>
      <w:r w:rsidR="00411F38">
        <w:rPr>
          <w:sz w:val="20"/>
          <w:szCs w:val="22"/>
        </w:rPr>
        <w:t xml:space="preserve">timing </w:t>
      </w:r>
      <w:r>
        <w:rPr>
          <w:rFonts w:hint="eastAsia"/>
          <w:sz w:val="20"/>
          <w:szCs w:val="22"/>
        </w:rPr>
        <w:t xml:space="preserve">issue </w:t>
      </w:r>
      <w:r w:rsidR="00411F38">
        <w:rPr>
          <w:sz w:val="20"/>
          <w:szCs w:val="22"/>
        </w:rPr>
        <w:t>for</w:t>
      </w:r>
      <w:r>
        <w:rPr>
          <w:rFonts w:hint="eastAsia"/>
          <w:sz w:val="20"/>
          <w:szCs w:val="22"/>
        </w:rPr>
        <w:t xml:space="preserve"> sidelink CG type 1 </w:t>
      </w:r>
      <w:r w:rsidR="00411F38">
        <w:rPr>
          <w:rFonts w:hint="eastAsia"/>
          <w:sz w:val="20"/>
          <w:szCs w:val="22"/>
        </w:rPr>
        <w:t xml:space="preserve">is </w:t>
      </w:r>
      <w:r>
        <w:rPr>
          <w:rFonts w:hint="eastAsia"/>
          <w:sz w:val="20"/>
          <w:szCs w:val="22"/>
        </w:rPr>
        <w:t>whether logical slot or physical slot is used for t</w:t>
      </w:r>
      <w:r w:rsidR="00411F38">
        <w:rPr>
          <w:rFonts w:hint="eastAsia"/>
          <w:sz w:val="20"/>
          <w:szCs w:val="22"/>
        </w:rPr>
        <w:t>imeDomainOffset and periodicity</w:t>
      </w:r>
      <w:r>
        <w:rPr>
          <w:rFonts w:hint="eastAsia"/>
          <w:sz w:val="20"/>
          <w:szCs w:val="22"/>
        </w:rPr>
        <w:t>.</w:t>
      </w:r>
      <w:r w:rsidR="00411F38">
        <w:rPr>
          <w:sz w:val="20"/>
          <w:szCs w:val="22"/>
        </w:rPr>
        <w:t xml:space="preserve"> To address this issue, it is helpful to look at how the similar issue is resolved in </w:t>
      </w:r>
      <w:r w:rsidR="00411F38">
        <w:rPr>
          <w:rFonts w:hint="eastAsia"/>
          <w:sz w:val="20"/>
          <w:szCs w:val="22"/>
        </w:rPr>
        <w:t>R14 LTE V2X</w:t>
      </w:r>
      <w:r w:rsidR="00411F38">
        <w:rPr>
          <w:sz w:val="20"/>
          <w:szCs w:val="22"/>
        </w:rPr>
        <w:t xml:space="preserve"> for</w:t>
      </w:r>
      <w:r>
        <w:rPr>
          <w:rFonts w:hint="eastAsia"/>
          <w:sz w:val="20"/>
          <w:szCs w:val="22"/>
        </w:rPr>
        <w:t xml:space="preserve"> sidelink SPS communication</w:t>
      </w:r>
      <w:r w:rsidR="00411F38">
        <w:rPr>
          <w:sz w:val="20"/>
          <w:szCs w:val="22"/>
        </w:rPr>
        <w:t>,</w:t>
      </w:r>
      <w:r>
        <w:rPr>
          <w:rFonts w:hint="eastAsia"/>
          <w:sz w:val="20"/>
          <w:szCs w:val="22"/>
        </w:rPr>
        <w:t xml:space="preserve"> which is similar to </w:t>
      </w:r>
      <w:r w:rsidR="00411F38">
        <w:rPr>
          <w:sz w:val="20"/>
          <w:szCs w:val="22"/>
        </w:rPr>
        <w:t xml:space="preserve">NR V2X </w:t>
      </w:r>
      <w:r w:rsidR="00411F38">
        <w:rPr>
          <w:rFonts w:hint="eastAsia"/>
          <w:sz w:val="20"/>
          <w:szCs w:val="22"/>
        </w:rPr>
        <w:t>CG type 2</w:t>
      </w:r>
      <w:r w:rsidR="004624B4">
        <w:rPr>
          <w:rFonts w:hint="eastAsia"/>
          <w:sz w:val="20"/>
          <w:szCs w:val="22"/>
        </w:rPr>
        <w:t xml:space="preserve">. </w:t>
      </w:r>
      <w:r w:rsidR="00411F38">
        <w:rPr>
          <w:sz w:val="20"/>
          <w:szCs w:val="22"/>
        </w:rPr>
        <w:t>The</w:t>
      </w:r>
      <w:r w:rsidR="004624B4">
        <w:rPr>
          <w:rFonts w:hint="eastAsia"/>
          <w:sz w:val="20"/>
          <w:szCs w:val="22"/>
        </w:rPr>
        <w:t xml:space="preserve"> T</w:t>
      </w:r>
      <w:r w:rsidR="004624B4">
        <w:rPr>
          <w:sz w:val="20"/>
          <w:szCs w:val="22"/>
        </w:rPr>
        <w:t>S</w:t>
      </w:r>
      <w:r>
        <w:rPr>
          <w:rFonts w:hint="eastAsia"/>
          <w:sz w:val="20"/>
          <w:szCs w:val="22"/>
        </w:rPr>
        <w:t xml:space="preserve"> 36.213</w:t>
      </w:r>
      <w:r w:rsidR="00411F38">
        <w:rPr>
          <w:rFonts w:hint="eastAsia"/>
          <w:sz w:val="20"/>
          <w:szCs w:val="22"/>
        </w:rPr>
        <w:t xml:space="preserve"> procedure </w:t>
      </w:r>
      <w:r w:rsidR="00411F38">
        <w:rPr>
          <w:sz w:val="20"/>
          <w:szCs w:val="22"/>
        </w:rPr>
        <w:t>to</w:t>
      </w:r>
      <w:r w:rsidR="00411F38">
        <w:rPr>
          <w:rFonts w:hint="eastAsia"/>
          <w:sz w:val="20"/>
          <w:szCs w:val="22"/>
        </w:rPr>
        <w:t xml:space="preserve"> determin</w:t>
      </w:r>
      <w:r w:rsidR="00411F38">
        <w:rPr>
          <w:sz w:val="20"/>
          <w:szCs w:val="22"/>
        </w:rPr>
        <w:t>e</w:t>
      </w:r>
      <w:r>
        <w:rPr>
          <w:rFonts w:hint="eastAsia"/>
          <w:sz w:val="20"/>
          <w:szCs w:val="22"/>
        </w:rPr>
        <w:t xml:space="preserve"> subframes according to the SPS per</w:t>
      </w:r>
      <w:r w:rsidR="00411F38">
        <w:rPr>
          <w:rFonts w:hint="eastAsia"/>
          <w:sz w:val="20"/>
          <w:szCs w:val="22"/>
        </w:rPr>
        <w:t>iodicity is described as follow</w:t>
      </w:r>
      <w:r w:rsidR="00411F38">
        <w:rPr>
          <w:sz w:val="20"/>
          <w:szCs w:val="22"/>
        </w:rPr>
        <w:t>ing</w:t>
      </w:r>
      <w:r>
        <w:rPr>
          <w:rFonts w:hint="eastAsia"/>
          <w:sz w:val="20"/>
          <w:szCs w:val="22"/>
        </w:rPr>
        <w:t>:</w:t>
      </w:r>
    </w:p>
    <w:tbl>
      <w:tblPr>
        <w:tblStyle w:val="TableGrid"/>
        <w:tblW w:w="9876" w:type="dxa"/>
        <w:tblLayout w:type="fixed"/>
        <w:tblLook w:val="04A0"/>
      </w:tblPr>
      <w:tblGrid>
        <w:gridCol w:w="9876"/>
      </w:tblGrid>
      <w:tr w:rsidR="00634D19">
        <w:tc>
          <w:tcPr>
            <w:tcW w:w="9876" w:type="dxa"/>
          </w:tcPr>
          <w:p w:rsidR="00634D19" w:rsidRDefault="007F7E79" w:rsidP="001348FD">
            <w:pPr>
              <w:pStyle w:val="TH"/>
              <w:spacing w:before="120" w:afterLines="0"/>
              <w:rPr>
                <w:lang w:val="en-US"/>
              </w:rPr>
            </w:pPr>
            <w:r>
              <w:rPr>
                <w:lang w:val="en-US"/>
              </w:rPr>
              <w:lastRenderedPageBreak/>
              <w:t>Table 14.1.1-1: Determination of</w:t>
            </w:r>
            <w:r w:rsidR="00634D19" w:rsidRPr="00634D19">
              <w:rPr>
                <w:position w:val="-14"/>
                <w:lang w:val="en-US"/>
              </w:rPr>
              <w:object w:dxaOrig="440" w:dyaOrig="380">
                <v:shape id="_x0000_i1026" type="#_x0000_t75" style="width:21.9pt;height:19pt" o:ole="">
                  <v:imagedata r:id="rId10" o:title=""/>
                </v:shape>
                <o:OLEObject Type="Embed" ProgID="Equation.3" ShapeID="_x0000_i1026" DrawAspect="Content" ObjectID="_1651000001" r:id="rId11"/>
              </w:object>
            </w:r>
            <w:r>
              <w:rPr>
                <w:lang w:val="en-US"/>
              </w:rPr>
              <w:t xml:space="preserve">for sidelink transmission mode </w:t>
            </w:r>
            <w:r>
              <w:rPr>
                <w:rFonts w:eastAsia="Malgun Gothic"/>
                <w:lang w:val="en-US" w:eastAsia="ko-KR"/>
              </w:rPr>
              <w:t>3 and 4</w:t>
            </w:r>
          </w:p>
          <w:tbl>
            <w:tblPr>
              <w:tblW w:w="5145" w:type="dxa"/>
              <w:jc w:val="center"/>
              <w:tblLayout w:type="fixed"/>
              <w:tblLook w:val="04A0"/>
            </w:tblPr>
            <w:tblGrid>
              <w:gridCol w:w="3422"/>
              <w:gridCol w:w="1723"/>
            </w:tblGrid>
            <w:tr w:rsidR="00634D19" w:rsidRPr="00411F38">
              <w:trPr>
                <w:trHeight w:val="197"/>
                <w:jc w:val="center"/>
              </w:trPr>
              <w:tc>
                <w:tcPr>
                  <w:tcW w:w="3422" w:type="dxa"/>
                  <w:tcBorders>
                    <w:top w:val="single" w:sz="4" w:space="0" w:color="auto"/>
                    <w:left w:val="single" w:sz="4" w:space="0" w:color="auto"/>
                    <w:bottom w:val="single" w:sz="4" w:space="0" w:color="auto"/>
                    <w:right w:val="single" w:sz="4" w:space="0" w:color="auto"/>
                  </w:tcBorders>
                  <w:vAlign w:val="bottom"/>
                </w:tcPr>
                <w:p w:rsidR="00634D19" w:rsidRPr="00411F38" w:rsidRDefault="00634D19" w:rsidP="00411F38">
                  <w:pPr>
                    <w:spacing w:beforeLines="0" w:afterLines="0"/>
                    <w:rPr>
                      <w:sz w:val="18"/>
                      <w:szCs w:val="18"/>
                    </w:rPr>
                  </w:pP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634D19" w:rsidP="00411F38">
                  <w:pPr>
                    <w:spacing w:beforeLines="0" w:afterLines="0"/>
                    <w:jc w:val="center"/>
                    <w:rPr>
                      <w:sz w:val="18"/>
                      <w:szCs w:val="18"/>
                    </w:rPr>
                  </w:pPr>
                  <w:r w:rsidRPr="00411F38">
                    <w:rPr>
                      <w:position w:val="-14"/>
                      <w:sz w:val="18"/>
                      <w:szCs w:val="18"/>
                    </w:rPr>
                    <w:object w:dxaOrig="440" w:dyaOrig="380">
                      <v:shape id="_x0000_i1027" type="#_x0000_t75" style="width:21.9pt;height:19pt" o:ole="">
                        <v:imagedata r:id="rId12" o:title=""/>
                      </v:shape>
                      <o:OLEObject Type="Embed" ProgID="Equation.3" ShapeID="_x0000_i1027" DrawAspect="Content" ObjectID="_1651000002" r:id="rId13"/>
                    </w:object>
                  </w:r>
                </w:p>
              </w:tc>
            </w:tr>
            <w:tr w:rsidR="00634D19" w:rsidRPr="00411F38">
              <w:trPr>
                <w:trHeight w:val="125"/>
                <w:jc w:val="center"/>
              </w:trPr>
              <w:tc>
                <w:tcPr>
                  <w:tcW w:w="3422" w:type="dxa"/>
                  <w:tcBorders>
                    <w:top w:val="nil"/>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sz w:val="18"/>
                      <w:szCs w:val="18"/>
                    </w:rPr>
                  </w:pPr>
                  <w:r w:rsidRPr="00411F38">
                    <w:rPr>
                      <w:rFonts w:eastAsia="Malgun Gothic"/>
                      <w:sz w:val="18"/>
                      <w:szCs w:val="18"/>
                      <w:lang w:eastAsia="ko-KR"/>
                    </w:rPr>
                    <w:t>60</w:t>
                  </w:r>
                </w:p>
              </w:tc>
            </w:tr>
            <w:tr w:rsidR="00634D19" w:rsidRPr="00411F38">
              <w:trPr>
                <w:trHeight w:val="188"/>
                <w:jc w:val="center"/>
              </w:trPr>
              <w:tc>
                <w:tcPr>
                  <w:tcW w:w="3422" w:type="dxa"/>
                  <w:tcBorders>
                    <w:top w:val="nil"/>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 xml:space="preserve">TDD with UL/DL configuration </w:t>
                  </w:r>
                  <w:r w:rsidRPr="00411F38">
                    <w:rPr>
                      <w:rFonts w:eastAsia="Malgun Gothic"/>
                      <w:sz w:val="18"/>
                      <w:szCs w:val="18"/>
                      <w:lang w:eastAsia="ko-KR"/>
                    </w:rPr>
                    <w:t>1</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sz w:val="18"/>
                      <w:szCs w:val="18"/>
                    </w:rPr>
                  </w:pPr>
                  <w:r w:rsidRPr="00411F38">
                    <w:rPr>
                      <w:sz w:val="18"/>
                      <w:szCs w:val="18"/>
                    </w:rPr>
                    <w:t>4</w:t>
                  </w:r>
                  <w:r w:rsidRPr="00411F38">
                    <w:rPr>
                      <w:rFonts w:eastAsia="Malgun Gothic"/>
                      <w:sz w:val="18"/>
                      <w:szCs w:val="18"/>
                      <w:lang w:eastAsia="ko-KR"/>
                    </w:rPr>
                    <w:t>0</w:t>
                  </w:r>
                </w:p>
              </w:tc>
            </w:tr>
            <w:tr w:rsidR="00634D19" w:rsidRPr="00411F38">
              <w:trPr>
                <w:trHeight w:val="188"/>
                <w:jc w:val="center"/>
              </w:trPr>
              <w:tc>
                <w:tcPr>
                  <w:tcW w:w="3422" w:type="dxa"/>
                  <w:tcBorders>
                    <w:top w:val="nil"/>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 xml:space="preserve">TDD with UL/DL configuration </w:t>
                  </w:r>
                  <w:r w:rsidRPr="00411F38">
                    <w:rPr>
                      <w:rFonts w:eastAsia="Malgun Gothic"/>
                      <w:sz w:val="18"/>
                      <w:szCs w:val="18"/>
                      <w:lang w:eastAsia="ko-KR"/>
                    </w:rPr>
                    <w:t>2</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sz w:val="18"/>
                      <w:szCs w:val="18"/>
                    </w:rPr>
                  </w:pPr>
                  <w:r w:rsidRPr="00411F38">
                    <w:rPr>
                      <w:rFonts w:eastAsia="Malgun Gothic"/>
                      <w:sz w:val="18"/>
                      <w:szCs w:val="18"/>
                      <w:lang w:eastAsia="ko-KR"/>
                    </w:rPr>
                    <w:t>20</w:t>
                  </w:r>
                </w:p>
              </w:tc>
            </w:tr>
            <w:tr w:rsidR="00634D19" w:rsidRPr="00411F38">
              <w:trPr>
                <w:trHeight w:val="188"/>
                <w:jc w:val="center"/>
              </w:trPr>
              <w:tc>
                <w:tcPr>
                  <w:tcW w:w="3422" w:type="dxa"/>
                  <w:tcBorders>
                    <w:top w:val="nil"/>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 xml:space="preserve">TDD with UL/DL configuration </w:t>
                  </w:r>
                  <w:r w:rsidRPr="00411F38">
                    <w:rPr>
                      <w:rFonts w:eastAsia="Malgun Gothic"/>
                      <w:sz w:val="18"/>
                      <w:szCs w:val="18"/>
                      <w:lang w:eastAsia="ko-KR"/>
                    </w:rPr>
                    <w:t>3</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sz w:val="18"/>
                      <w:szCs w:val="18"/>
                    </w:rPr>
                  </w:pPr>
                  <w:r w:rsidRPr="00411F38">
                    <w:rPr>
                      <w:rFonts w:eastAsia="Malgun Gothic"/>
                      <w:sz w:val="18"/>
                      <w:szCs w:val="18"/>
                      <w:lang w:eastAsia="ko-KR"/>
                    </w:rPr>
                    <w:t>30</w:t>
                  </w:r>
                </w:p>
              </w:tc>
            </w:tr>
            <w:tr w:rsidR="00634D19" w:rsidRPr="00411F38">
              <w:trPr>
                <w:trHeight w:val="188"/>
                <w:jc w:val="center"/>
              </w:trPr>
              <w:tc>
                <w:tcPr>
                  <w:tcW w:w="3422" w:type="dxa"/>
                  <w:tcBorders>
                    <w:top w:val="nil"/>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 xml:space="preserve">TDD with UL/DL configuration </w:t>
                  </w:r>
                  <w:r w:rsidRPr="00411F38">
                    <w:rPr>
                      <w:rFonts w:eastAsia="Malgun Gothic"/>
                      <w:sz w:val="18"/>
                      <w:szCs w:val="18"/>
                      <w:lang w:eastAsia="ko-KR"/>
                    </w:rPr>
                    <w:t>4</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sz w:val="18"/>
                      <w:szCs w:val="18"/>
                    </w:rPr>
                  </w:pPr>
                  <w:r w:rsidRPr="00411F38">
                    <w:rPr>
                      <w:rFonts w:eastAsia="Malgun Gothic"/>
                      <w:sz w:val="18"/>
                      <w:szCs w:val="18"/>
                      <w:lang w:eastAsia="ko-KR"/>
                    </w:rPr>
                    <w:t>20</w:t>
                  </w:r>
                </w:p>
              </w:tc>
            </w:tr>
            <w:tr w:rsidR="00634D19" w:rsidRPr="00411F38" w:rsidTr="001348FD">
              <w:trPr>
                <w:trHeight w:val="188"/>
                <w:jc w:val="center"/>
              </w:trPr>
              <w:tc>
                <w:tcPr>
                  <w:tcW w:w="3422" w:type="dxa"/>
                  <w:tcBorders>
                    <w:top w:val="nil"/>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 xml:space="preserve">TDD with UL/DL configuration </w:t>
                  </w:r>
                  <w:r w:rsidRPr="00411F38">
                    <w:rPr>
                      <w:rFonts w:eastAsia="Malgun Gothic"/>
                      <w:sz w:val="18"/>
                      <w:szCs w:val="18"/>
                      <w:lang w:eastAsia="ko-KR"/>
                    </w:rPr>
                    <w:t>5</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sz w:val="18"/>
                      <w:szCs w:val="18"/>
                    </w:rPr>
                  </w:pPr>
                  <w:r w:rsidRPr="00411F38">
                    <w:rPr>
                      <w:rFonts w:eastAsia="Malgun Gothic"/>
                      <w:sz w:val="18"/>
                      <w:szCs w:val="18"/>
                      <w:lang w:eastAsia="ko-KR"/>
                    </w:rPr>
                    <w:t>10</w:t>
                  </w:r>
                </w:p>
              </w:tc>
            </w:tr>
            <w:tr w:rsidR="00634D19" w:rsidRPr="00411F38" w:rsidTr="001348FD">
              <w:trPr>
                <w:trHeight w:val="188"/>
                <w:jc w:val="center"/>
              </w:trPr>
              <w:tc>
                <w:tcPr>
                  <w:tcW w:w="3422" w:type="dxa"/>
                  <w:tcBorders>
                    <w:top w:val="single" w:sz="4" w:space="0" w:color="auto"/>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 xml:space="preserve">TDD with UL/DL configuration </w:t>
                  </w:r>
                  <w:r w:rsidRPr="00411F38">
                    <w:rPr>
                      <w:rFonts w:eastAsia="Malgun Gothic"/>
                      <w:sz w:val="18"/>
                      <w:szCs w:val="18"/>
                      <w:lang w:eastAsia="ko-KR"/>
                    </w:rPr>
                    <w:t>6</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sz w:val="18"/>
                      <w:szCs w:val="18"/>
                    </w:rPr>
                  </w:pPr>
                  <w:r w:rsidRPr="00411F38">
                    <w:rPr>
                      <w:rFonts w:eastAsia="Malgun Gothic"/>
                      <w:sz w:val="18"/>
                      <w:szCs w:val="18"/>
                      <w:lang w:eastAsia="ko-KR"/>
                    </w:rPr>
                    <w:t>50</w:t>
                  </w:r>
                </w:p>
              </w:tc>
            </w:tr>
            <w:tr w:rsidR="00634D19" w:rsidRPr="00411F38" w:rsidTr="001348FD">
              <w:trPr>
                <w:trHeight w:val="188"/>
                <w:jc w:val="center"/>
              </w:trPr>
              <w:tc>
                <w:tcPr>
                  <w:tcW w:w="3422" w:type="dxa"/>
                  <w:tcBorders>
                    <w:top w:val="single" w:sz="4" w:space="0" w:color="auto"/>
                    <w:left w:val="single" w:sz="4" w:space="0" w:color="auto"/>
                    <w:bottom w:val="single" w:sz="4" w:space="0" w:color="auto"/>
                    <w:right w:val="single" w:sz="4" w:space="0" w:color="auto"/>
                  </w:tcBorders>
                  <w:vAlign w:val="bottom"/>
                </w:tcPr>
                <w:p w:rsidR="00634D19" w:rsidRPr="00411F38" w:rsidRDefault="007F7E79" w:rsidP="00411F38">
                  <w:pPr>
                    <w:spacing w:beforeLines="0" w:afterLines="0"/>
                    <w:rPr>
                      <w:sz w:val="18"/>
                      <w:szCs w:val="18"/>
                    </w:rPr>
                  </w:pPr>
                  <w:r w:rsidRPr="00411F38">
                    <w:rPr>
                      <w:sz w:val="18"/>
                      <w:szCs w:val="18"/>
                    </w:rPr>
                    <w:t>Otherwise</w:t>
                  </w:r>
                </w:p>
              </w:tc>
              <w:tc>
                <w:tcPr>
                  <w:tcW w:w="1723" w:type="dxa"/>
                  <w:tcBorders>
                    <w:top w:val="single" w:sz="4" w:space="0" w:color="auto"/>
                    <w:left w:val="single" w:sz="4" w:space="0" w:color="auto"/>
                    <w:bottom w:val="single" w:sz="4" w:space="0" w:color="auto"/>
                    <w:right w:val="single" w:sz="4" w:space="0" w:color="auto"/>
                  </w:tcBorders>
                </w:tcPr>
                <w:p w:rsidR="00634D19" w:rsidRPr="00411F38" w:rsidRDefault="007F7E79" w:rsidP="00411F38">
                  <w:pPr>
                    <w:spacing w:beforeLines="0" w:afterLines="0"/>
                    <w:jc w:val="center"/>
                    <w:rPr>
                      <w:rFonts w:eastAsia="Malgun Gothic"/>
                      <w:sz w:val="18"/>
                      <w:szCs w:val="18"/>
                      <w:lang w:eastAsia="ko-KR"/>
                    </w:rPr>
                  </w:pPr>
                  <w:r w:rsidRPr="00411F38">
                    <w:rPr>
                      <w:rFonts w:eastAsia="Malgun Gothic"/>
                      <w:sz w:val="18"/>
                      <w:szCs w:val="18"/>
                      <w:lang w:eastAsia="ko-KR"/>
                    </w:rPr>
                    <w:t>100</w:t>
                  </w:r>
                </w:p>
              </w:tc>
            </w:tr>
          </w:tbl>
          <w:p w:rsidR="00634D19" w:rsidRDefault="007F7E79" w:rsidP="001348FD">
            <w:pPr>
              <w:pStyle w:val="Heading4"/>
              <w:numPr>
                <w:ilvl w:val="0"/>
                <w:numId w:val="0"/>
              </w:numPr>
              <w:spacing w:beforeLines="100" w:after="120"/>
              <w:ind w:right="210"/>
              <w:outlineLvl w:val="3"/>
              <w:rPr>
                <w:rFonts w:eastAsia="Malgun Gothic"/>
                <w:szCs w:val="22"/>
                <w:lang w:eastAsia="ko-KR"/>
              </w:rPr>
            </w:pPr>
            <w:r>
              <w:rPr>
                <w:szCs w:val="22"/>
              </w:rPr>
              <w:t>14.1.1.4</w:t>
            </w:r>
            <w:r>
              <w:rPr>
                <w:rFonts w:eastAsia="Malgun Gothic" w:hint="eastAsia"/>
                <w:szCs w:val="22"/>
                <w:lang w:eastAsia="ko-KR"/>
              </w:rPr>
              <w:t>A</w:t>
            </w:r>
            <w:r>
              <w:rPr>
                <w:szCs w:val="22"/>
              </w:rPr>
              <w:tab/>
              <w:t xml:space="preserve">UE procedure for determining subframes </w:t>
            </w:r>
            <w:r>
              <w:rPr>
                <w:rFonts w:eastAsia="Malgun Gothic" w:hint="eastAsia"/>
                <w:szCs w:val="22"/>
                <w:lang w:eastAsia="ko-KR"/>
              </w:rPr>
              <w:t xml:space="preserve">and resource blocks </w:t>
            </w:r>
            <w:r>
              <w:rPr>
                <w:szCs w:val="22"/>
              </w:rPr>
              <w:t xml:space="preserve">for transmitting PSSCH for sidelink transmission mode </w:t>
            </w:r>
            <w:r>
              <w:rPr>
                <w:rFonts w:eastAsia="Malgun Gothic" w:hint="eastAsia"/>
                <w:szCs w:val="22"/>
                <w:lang w:eastAsia="ko-KR"/>
              </w:rPr>
              <w:t>3</w:t>
            </w:r>
          </w:p>
          <w:p w:rsidR="00634D19" w:rsidRPr="001F33B2" w:rsidRDefault="007F7E79" w:rsidP="004624B4">
            <w:pPr>
              <w:spacing w:before="120" w:after="120"/>
              <w:rPr>
                <w:rFonts w:eastAsia="Malgun Gothic"/>
                <w:b/>
                <w:i/>
                <w:sz w:val="20"/>
                <w:lang w:eastAsia="ko-KR"/>
              </w:rPr>
            </w:pPr>
            <w:r w:rsidRPr="001F33B2">
              <w:rPr>
                <w:rFonts w:eastAsia="Malgun Gothic" w:hint="eastAsia"/>
                <w:sz w:val="20"/>
                <w:lang w:eastAsia="ko-KR"/>
              </w:rPr>
              <w:t xml:space="preserve">If the UE has a configured sidelink grant </w:t>
            </w:r>
            <w:r w:rsidRPr="001F33B2">
              <w:rPr>
                <w:rFonts w:eastAsia="Malgun Gothic"/>
                <w:sz w:val="20"/>
                <w:lang w:eastAsia="ko-KR"/>
              </w:rPr>
              <w:t>(described in [8])</w:t>
            </w:r>
            <w:r w:rsidRPr="001F33B2">
              <w:rPr>
                <w:rFonts w:eastAsia="Malgun Gothic" w:hint="eastAsia"/>
                <w:sz w:val="20"/>
                <w:lang w:eastAsia="ko-KR"/>
              </w:rPr>
              <w:t xml:space="preserve"> in subframe </w:t>
            </w:r>
            <w:r w:rsidR="00634D19" w:rsidRPr="001F33B2">
              <w:rPr>
                <w:position w:val="-12"/>
                <w:sz w:val="20"/>
              </w:rPr>
              <w:object w:dxaOrig="320" w:dyaOrig="380">
                <v:shape id="_x0000_i1028" type="#_x0000_t75" style="width:16.15pt;height:19pt" o:ole="">
                  <v:imagedata r:id="rId14" o:title=""/>
                </v:shape>
                <o:OLEObject Type="Embed" ProgID="Equation.3" ShapeID="_x0000_i1028" DrawAspect="Content" ObjectID="_1651000003" r:id="rId15"/>
              </w:object>
            </w:r>
            <w:r w:rsidRPr="001F33B2">
              <w:rPr>
                <w:rFonts w:eastAsia="Malgun Gothic" w:hint="eastAsia"/>
                <w:sz w:val="20"/>
                <w:lang w:eastAsia="ko-KR"/>
              </w:rPr>
              <w:t xml:space="preserve"> with the corresponding PSCCH resource </w:t>
            </w:r>
            <w:r w:rsidRPr="001F33B2">
              <w:rPr>
                <w:rFonts w:eastAsia="Malgun Gothic" w:hint="eastAsia"/>
                <w:i/>
                <w:sz w:val="20"/>
                <w:lang w:eastAsia="ko-KR"/>
              </w:rPr>
              <w:t xml:space="preserve">m </w:t>
            </w:r>
            <w:r w:rsidRPr="001F33B2">
              <w:rPr>
                <w:rFonts w:eastAsia="Malgun Gothic" w:hint="eastAsia"/>
                <w:sz w:val="20"/>
                <w:lang w:eastAsia="ko-KR"/>
              </w:rPr>
              <w:t xml:space="preserve">(described in Subclause 14.2.4), </w:t>
            </w:r>
            <w:r w:rsidRPr="001F33B2">
              <w:rPr>
                <w:rFonts w:eastAsia="Malgun Gothic"/>
                <w:sz w:val="20"/>
                <w:lang w:eastAsia="ko-KR"/>
              </w:rPr>
              <w:t>the resource blocks and subframes of the corresponding PSSCH transmissions are determined according to 14.1.1.4C.</w:t>
            </w:r>
            <w:r w:rsidRPr="001F33B2">
              <w:rPr>
                <w:rFonts w:eastAsia="Malgun Gothic" w:hint="eastAsia"/>
                <w:sz w:val="20"/>
                <w:lang w:eastAsia="ko-KR"/>
              </w:rPr>
              <w:t xml:space="preserve"> </w:t>
            </w:r>
          </w:p>
          <w:p w:rsidR="00634D19" w:rsidRDefault="007F7E79">
            <w:pPr>
              <w:spacing w:before="120" w:after="120"/>
              <w:ind w:right="210"/>
              <w:rPr>
                <w:rFonts w:ascii="Calibri" w:hAnsi="Calibri"/>
              </w:rPr>
            </w:pPr>
            <w:r w:rsidRPr="001F33B2">
              <w:rPr>
                <w:rFonts w:eastAsia="Malgun Gothic" w:hint="eastAsia"/>
                <w:sz w:val="20"/>
                <w:lang w:eastAsia="ko-KR"/>
              </w:rPr>
              <w:t xml:space="preserve">If the UE has a </w:t>
            </w:r>
            <w:r w:rsidRPr="001F33B2">
              <w:rPr>
                <w:rFonts w:eastAsia="Malgun Gothic"/>
                <w:sz w:val="20"/>
                <w:lang w:eastAsia="ko-KR"/>
              </w:rPr>
              <w:t>configured</w:t>
            </w:r>
            <w:r w:rsidRPr="001F33B2">
              <w:rPr>
                <w:rFonts w:eastAsia="Malgun Gothic" w:hint="eastAsia"/>
                <w:sz w:val="20"/>
                <w:lang w:eastAsia="ko-KR"/>
              </w:rPr>
              <w:t xml:space="preserve"> sidelink grant (described in [8]) for an SL SPS configuration activated by Subclause 14.2.1 and if a set of sub-channels in subframe </w:t>
            </w:r>
            <w:r w:rsidR="00634D19" w:rsidRPr="001F33B2">
              <w:rPr>
                <w:position w:val="-12"/>
                <w:sz w:val="20"/>
              </w:rPr>
              <w:object w:dxaOrig="320" w:dyaOrig="380">
                <v:shape id="_x0000_i1029" type="#_x0000_t75" style="width:16.15pt;height:19pt" o:ole="">
                  <v:imagedata r:id="rId16" o:title=""/>
                </v:shape>
                <o:OLEObject Type="Embed" ProgID="Equation.3" ShapeID="_x0000_i1029" DrawAspect="Content" ObjectID="_1651000004" r:id="rId17"/>
              </w:object>
            </w:r>
            <w:r w:rsidRPr="001F33B2">
              <w:rPr>
                <w:rFonts w:eastAsia="Malgun Gothic" w:hint="eastAsia"/>
                <w:i/>
                <w:sz w:val="20"/>
                <w:lang w:eastAsia="ko-KR"/>
              </w:rPr>
              <w:t xml:space="preserve"> </w:t>
            </w:r>
            <w:r w:rsidRPr="001F33B2">
              <w:rPr>
                <w:rFonts w:eastAsia="Malgun Gothic" w:hint="eastAsia"/>
                <w:sz w:val="20"/>
                <w:lang w:eastAsia="ko-KR"/>
              </w:rPr>
              <w:t xml:space="preserve">is determined as the time and frequency resource for PSSCH transmission corresponding to the </w:t>
            </w:r>
            <w:r w:rsidRPr="001F33B2">
              <w:rPr>
                <w:rFonts w:eastAsia="Malgun Gothic"/>
                <w:sz w:val="20"/>
                <w:lang w:eastAsia="ko-KR"/>
              </w:rPr>
              <w:t>configured</w:t>
            </w:r>
            <w:r w:rsidRPr="001F33B2">
              <w:rPr>
                <w:rFonts w:eastAsia="Malgun Gothic" w:hint="eastAsia"/>
                <w:sz w:val="20"/>
                <w:lang w:eastAsia="ko-KR"/>
              </w:rPr>
              <w:t xml:space="preserve"> sidelink grant </w:t>
            </w:r>
            <w:r w:rsidRPr="001F33B2">
              <w:rPr>
                <w:rFonts w:eastAsia="Malgun Gothic"/>
                <w:sz w:val="20"/>
                <w:lang w:eastAsia="ko-KR"/>
              </w:rPr>
              <w:t>(described in [8])</w:t>
            </w:r>
            <w:r w:rsidRPr="001F33B2">
              <w:rPr>
                <w:rFonts w:eastAsia="Malgun Gothic" w:hint="eastAsia"/>
                <w:sz w:val="20"/>
                <w:lang w:eastAsia="ko-KR"/>
              </w:rPr>
              <w:t xml:space="preserve"> of the SL SPS configuration, the same set of sub-channels in </w:t>
            </w:r>
            <w:r w:rsidRPr="001F33B2">
              <w:rPr>
                <w:rFonts w:eastAsia="Malgun Gothic" w:hint="eastAsia"/>
                <w:sz w:val="20"/>
                <w:highlight w:val="yellow"/>
                <w:lang w:eastAsia="ko-KR"/>
              </w:rPr>
              <w:t xml:space="preserve">subframes </w:t>
            </w:r>
            <w:r w:rsidR="00634D19" w:rsidRPr="001F33B2">
              <w:rPr>
                <w:position w:val="-16"/>
                <w:sz w:val="20"/>
                <w:highlight w:val="yellow"/>
              </w:rPr>
              <w:object w:dxaOrig="779" w:dyaOrig="420">
                <v:shape id="_x0000_i1030" type="#_x0000_t75" style="width:38.6pt;height:21.3pt" o:ole="">
                  <v:imagedata r:id="rId18" o:title=""/>
                </v:shape>
                <o:OLEObject Type="Embed" ProgID="Equation.3" ShapeID="_x0000_i1030" DrawAspect="Content" ObjectID="_1651000005" r:id="rId19"/>
              </w:object>
            </w:r>
            <w:r w:rsidRPr="001F33B2">
              <w:rPr>
                <w:rFonts w:eastAsia="Malgun Gothic" w:hint="eastAsia"/>
                <w:sz w:val="20"/>
                <w:highlight w:val="yellow"/>
                <w:lang w:eastAsia="ko-KR"/>
              </w:rPr>
              <w:t xml:space="preserve"> are also determined for PSSCH </w:t>
            </w:r>
            <w:r w:rsidRPr="001F33B2">
              <w:rPr>
                <w:rFonts w:eastAsia="Malgun Gothic"/>
                <w:sz w:val="20"/>
                <w:highlight w:val="yellow"/>
                <w:lang w:eastAsia="ko-KR"/>
              </w:rPr>
              <w:t>transmission</w:t>
            </w:r>
            <w:r w:rsidRPr="001F33B2">
              <w:rPr>
                <w:rFonts w:eastAsia="Malgun Gothic" w:hint="eastAsia"/>
                <w:sz w:val="20"/>
                <w:highlight w:val="yellow"/>
                <w:lang w:eastAsia="ko-KR"/>
              </w:rPr>
              <w:t xml:space="preserve">s corresponding to the same sidelink grant where </w:t>
            </w:r>
            <w:r w:rsidRPr="001F33B2">
              <w:rPr>
                <w:rFonts w:eastAsia="Malgun Gothic" w:hint="eastAsia"/>
                <w:i/>
                <w:sz w:val="20"/>
                <w:highlight w:val="yellow"/>
                <w:lang w:eastAsia="ko-KR"/>
              </w:rPr>
              <w:t>j=</w:t>
            </w:r>
            <w:r w:rsidRPr="001F33B2">
              <w:rPr>
                <w:rFonts w:eastAsia="Malgun Gothic" w:hint="eastAsia"/>
                <w:sz w:val="20"/>
                <w:highlight w:val="yellow"/>
                <w:lang w:eastAsia="ko-KR"/>
              </w:rPr>
              <w:t>1, 2,</w:t>
            </w:r>
            <w:r w:rsidRPr="001F33B2">
              <w:rPr>
                <w:rFonts w:eastAsia="Malgun Gothic"/>
                <w:i/>
                <w:sz w:val="20"/>
                <w:highlight w:val="yellow"/>
                <w:lang w:eastAsia="ko-KR"/>
              </w:rPr>
              <w:t>…</w:t>
            </w:r>
            <w:r w:rsidRPr="001F33B2">
              <w:rPr>
                <w:rFonts w:eastAsia="Malgun Gothic" w:hint="eastAsia"/>
                <w:i/>
                <w:sz w:val="20"/>
                <w:highlight w:val="yellow"/>
                <w:lang w:eastAsia="ko-KR"/>
              </w:rPr>
              <w:t>,</w:t>
            </w:r>
            <w:r w:rsidRPr="001F33B2">
              <w:rPr>
                <w:sz w:val="20"/>
                <w:highlight w:val="yellow"/>
              </w:rPr>
              <w:t xml:space="preserve"> </w:t>
            </w:r>
            <w:r w:rsidR="00634D19" w:rsidRPr="001F33B2">
              <w:rPr>
                <w:position w:val="-14"/>
                <w:sz w:val="20"/>
                <w:highlight w:val="yellow"/>
              </w:rPr>
              <w:object w:dxaOrig="2119" w:dyaOrig="400">
                <v:shape id="_x0000_i1031" type="#_x0000_t75" style="width:106pt;height:20.15pt" o:ole="">
                  <v:imagedata r:id="rId20" o:title=""/>
                </v:shape>
                <o:OLEObject Type="Embed" ProgID="Equation.3" ShapeID="_x0000_i1031" DrawAspect="Content" ObjectID="_1651000006" r:id="rId21"/>
              </w:object>
            </w:r>
            <w:r w:rsidRPr="001F33B2">
              <w:rPr>
                <w:rFonts w:eastAsia="Malgun Gothic" w:hint="eastAsia"/>
                <w:sz w:val="20"/>
                <w:highlight w:val="yellow"/>
                <w:lang w:eastAsia="ko-KR"/>
              </w:rPr>
              <w:t xml:space="preserve">, </w:t>
            </w:r>
            <w:r w:rsidRPr="001F33B2">
              <w:rPr>
                <w:rFonts w:eastAsia="Malgun Gothic"/>
                <w:sz w:val="20"/>
                <w:highlight w:val="yellow"/>
                <w:lang w:eastAsia="ko-KR"/>
              </w:rPr>
              <w:t>and</w:t>
            </w:r>
            <w:r w:rsidRPr="001F33B2">
              <w:rPr>
                <w:rFonts w:eastAsia="Malgun Gothic" w:hint="eastAsia"/>
                <w:sz w:val="20"/>
                <w:highlight w:val="yellow"/>
                <w:lang w:eastAsia="ko-KR"/>
              </w:rPr>
              <w:t xml:space="preserve"> </w:t>
            </w:r>
            <w:r w:rsidR="00634D19" w:rsidRPr="001F33B2">
              <w:rPr>
                <w:position w:val="-12"/>
                <w:sz w:val="20"/>
                <w:highlight w:val="yellow"/>
              </w:rPr>
              <w:object w:dxaOrig="1380" w:dyaOrig="380">
                <v:shape id="_x0000_i1032" type="#_x0000_t75" style="width:69.1pt;height:19pt" o:ole="">
                  <v:imagedata r:id="rId22" o:title=""/>
                </v:shape>
                <o:OLEObject Type="Embed" ProgID="Equation.3" ShapeID="_x0000_i1032" DrawAspect="Content" ObjectID="_1651000007" r:id="rId23"/>
              </w:object>
            </w:r>
            <w:r w:rsidRPr="001F33B2">
              <w:rPr>
                <w:rFonts w:eastAsia="Malgun Gothic" w:hint="eastAsia"/>
                <w:sz w:val="20"/>
                <w:highlight w:val="yellow"/>
                <w:lang w:eastAsia="ko-KR"/>
              </w:rPr>
              <w:t xml:space="preserve"> is determined by Subclause 14.1.5.</w:t>
            </w:r>
            <w:r w:rsidRPr="001F33B2">
              <w:rPr>
                <w:rFonts w:eastAsia="Malgun Gothic" w:hint="eastAsia"/>
                <w:sz w:val="20"/>
                <w:highlight w:val="yellow"/>
              </w:rPr>
              <w:t xml:space="preserve"> Here, </w:t>
            </w:r>
            <w:r w:rsidR="00634D19" w:rsidRPr="001F33B2">
              <w:rPr>
                <w:position w:val="-12"/>
                <w:sz w:val="20"/>
                <w:highlight w:val="yellow"/>
              </w:rPr>
              <w:object w:dxaOrig="440" w:dyaOrig="360">
                <v:shape id="_x0000_i1033" type="#_x0000_t75" style="width:21.9pt;height:18.45pt" o:ole="">
                  <v:imagedata r:id="rId24" o:title=""/>
                </v:shape>
                <o:OLEObject Type="Embed" ProgID="Equation.3" ShapeID="_x0000_i1033" DrawAspect="Content" ObjectID="_1651000008" r:id="rId25"/>
              </w:object>
            </w:r>
            <w:r w:rsidRPr="001F33B2">
              <w:rPr>
                <w:rFonts w:eastAsia="Malgun Gothic" w:hint="eastAsia"/>
                <w:sz w:val="20"/>
                <w:highlight w:val="yellow"/>
              </w:rPr>
              <w:t xml:space="preserve"> is the sidelink SPS interval of the corresponding SL SPS </w:t>
            </w:r>
            <w:r w:rsidRPr="001F33B2">
              <w:rPr>
                <w:rFonts w:eastAsia="Malgun Gothic"/>
                <w:sz w:val="20"/>
                <w:highlight w:val="yellow"/>
              </w:rPr>
              <w:t>configuration</w:t>
            </w:r>
            <w:r w:rsidRPr="001F33B2">
              <w:rPr>
                <w:rFonts w:eastAsia="Malgun Gothic" w:hint="eastAsia"/>
                <w:sz w:val="20"/>
                <w:highlight w:val="yellow"/>
              </w:rPr>
              <w:t>.</w:t>
            </w:r>
          </w:p>
        </w:tc>
      </w:tr>
    </w:tbl>
    <w:p w:rsidR="00634D19" w:rsidRPr="001F33B2" w:rsidRDefault="001F33B2" w:rsidP="001F33B2">
      <w:pPr>
        <w:spacing w:before="120" w:after="120"/>
        <w:rPr>
          <w:sz w:val="20"/>
        </w:rPr>
      </w:pPr>
      <w:r w:rsidRPr="001F33B2">
        <w:rPr>
          <w:sz w:val="20"/>
        </w:rPr>
        <w:t>It</w:t>
      </w:r>
      <w:r w:rsidR="007F7E79" w:rsidRPr="001F33B2">
        <w:rPr>
          <w:sz w:val="20"/>
        </w:rPr>
        <w:t xml:space="preserve"> can be seen</w:t>
      </w:r>
      <w:r w:rsidRPr="001F33B2">
        <w:rPr>
          <w:sz w:val="20"/>
        </w:rPr>
        <w:t xml:space="preserve"> that</w:t>
      </w:r>
      <w:r w:rsidR="007F7E79" w:rsidRPr="001F33B2">
        <w:rPr>
          <w:sz w:val="20"/>
        </w:rPr>
        <w:t>, SPS periodicity conversion “P</w:t>
      </w:r>
      <w:r w:rsidRPr="001F33B2">
        <w:rPr>
          <w:sz w:val="20"/>
        </w:rPr>
        <w:t>’</w:t>
      </w:r>
      <w:r w:rsidR="007F7E79" w:rsidRPr="001F33B2">
        <w:rPr>
          <w:sz w:val="20"/>
          <w:vertAlign w:val="subscript"/>
        </w:rPr>
        <w:t>sps</w:t>
      </w:r>
      <w:r w:rsidR="007F7E79" w:rsidRPr="001F33B2">
        <w:rPr>
          <w:sz w:val="20"/>
        </w:rPr>
        <w:t>” is used according to the TDD configuration. For example, when TDD with UL/DL configuration 0 is used and SPS periodicity “P</w:t>
      </w:r>
      <w:r w:rsidR="007F7E79" w:rsidRPr="001F33B2">
        <w:rPr>
          <w:sz w:val="20"/>
          <w:vertAlign w:val="subscript"/>
        </w:rPr>
        <w:t>sps</w:t>
      </w:r>
      <w:r w:rsidR="007F7E79" w:rsidRPr="001F33B2">
        <w:rPr>
          <w:sz w:val="20"/>
        </w:rPr>
        <w:t>” is 100m</w:t>
      </w:r>
      <w:r w:rsidR="001B1F34">
        <w:rPr>
          <w:sz w:val="20"/>
        </w:rPr>
        <w:t xml:space="preserve">s, the </w:t>
      </w:r>
      <w:r w:rsidR="007F7E79" w:rsidRPr="001F33B2">
        <w:rPr>
          <w:sz w:val="20"/>
        </w:rPr>
        <w:t>conversion “P’</w:t>
      </w:r>
      <w:r w:rsidR="007F7E79" w:rsidRPr="001F33B2">
        <w:rPr>
          <w:sz w:val="20"/>
          <w:vertAlign w:val="subscript"/>
        </w:rPr>
        <w:t>sps</w:t>
      </w:r>
      <w:r w:rsidR="007F7E79" w:rsidRPr="001F33B2">
        <w:rPr>
          <w:sz w:val="20"/>
        </w:rPr>
        <w:t xml:space="preserve">” is 60ms, which means 60 logical subframe but actually 100 physical subframe after </w:t>
      </w:r>
      <w:r w:rsidR="00634D19" w:rsidRPr="001F33B2">
        <w:rPr>
          <w:position w:val="-12"/>
          <w:sz w:val="20"/>
        </w:rPr>
        <w:object w:dxaOrig="320" w:dyaOrig="380">
          <v:shape id="_x0000_i1035" type="#_x0000_t75" style="width:16.15pt;height:19pt" o:ole="">
            <v:imagedata r:id="rId16" o:title=""/>
          </v:shape>
          <o:OLEObject Type="Embed" ProgID="Equation.3" ShapeID="_x0000_i1035" DrawAspect="Content" ObjectID="_1651000009" r:id="rId26"/>
        </w:object>
      </w:r>
      <w:r w:rsidRPr="001F33B2">
        <w:rPr>
          <w:sz w:val="20"/>
        </w:rPr>
        <w:t>. Given that</w:t>
      </w:r>
      <w:r w:rsidR="007F7E79" w:rsidRPr="001F33B2">
        <w:rPr>
          <w:sz w:val="20"/>
        </w:rPr>
        <w:t xml:space="preserve"> TDD configuration of NR is muc</w:t>
      </w:r>
      <w:r w:rsidRPr="001F33B2">
        <w:rPr>
          <w:sz w:val="20"/>
        </w:rPr>
        <w:t>h more flexible than LTE, it is easier to</w:t>
      </w:r>
      <w:r w:rsidR="007F7E79" w:rsidRPr="001F33B2">
        <w:rPr>
          <w:sz w:val="20"/>
        </w:rPr>
        <w:t xml:space="preserve"> count the physical slot directly after </w:t>
      </w:r>
      <w:r w:rsidR="00634D19" w:rsidRPr="001F33B2">
        <w:rPr>
          <w:position w:val="-12"/>
          <w:sz w:val="20"/>
        </w:rPr>
        <w:object w:dxaOrig="320" w:dyaOrig="380">
          <v:shape id="_x0000_i1036" type="#_x0000_t75" style="width:16.15pt;height:19pt" o:ole="">
            <v:imagedata r:id="rId16" o:title=""/>
          </v:shape>
          <o:OLEObject Type="Embed" ProgID="Equation.3" ShapeID="_x0000_i1036" DrawAspect="Content" ObjectID="_1651000010" r:id="rId27"/>
        </w:object>
      </w:r>
      <w:r w:rsidR="007F7E79" w:rsidRPr="001F33B2">
        <w:rPr>
          <w:sz w:val="20"/>
        </w:rPr>
        <w:t xml:space="preserve"> to avoid a periodicity conversion. So </w:t>
      </w:r>
      <w:r w:rsidRPr="001F33B2">
        <w:rPr>
          <w:sz w:val="20"/>
        </w:rPr>
        <w:t xml:space="preserve">it is preferred to use </w:t>
      </w:r>
      <w:r w:rsidR="007F7E79" w:rsidRPr="001F33B2">
        <w:rPr>
          <w:sz w:val="20"/>
        </w:rPr>
        <w:t>physical slot</w:t>
      </w:r>
      <w:r w:rsidRPr="001F33B2">
        <w:rPr>
          <w:sz w:val="20"/>
        </w:rPr>
        <w:t xml:space="preserve"> to interpret</w:t>
      </w:r>
      <w:r w:rsidR="007F7E79" w:rsidRPr="001F33B2">
        <w:rPr>
          <w:sz w:val="20"/>
        </w:rPr>
        <w:t xml:space="preserve"> timeDomainOffset and periodicity.</w:t>
      </w:r>
    </w:p>
    <w:p w:rsidR="00634D19" w:rsidRDefault="001F33B2" w:rsidP="001348FD">
      <w:pPr>
        <w:pStyle w:val="YJ-Proposal"/>
        <w:spacing w:beforeLines="0" w:after="120"/>
        <w:rPr>
          <w:lang w:val="en-US" w:eastAsia="zh-CN"/>
        </w:rPr>
      </w:pPr>
      <w:bookmarkStart w:id="104" w:name="_Toc40387026"/>
      <w:r>
        <w:t>Physical slot is used to interpret timeDomainOffset and periodicity.</w:t>
      </w:r>
      <w:bookmarkEnd w:id="104"/>
    </w:p>
    <w:p w:rsidR="00634D19" w:rsidRDefault="007F7E79">
      <w:pPr>
        <w:pStyle w:val="Heading2"/>
        <w:spacing w:before="120" w:after="120"/>
        <w:ind w:left="991" w:right="210" w:hangingChars="354" w:hanging="991"/>
        <w:rPr>
          <w:rFonts w:ascii="Times New Roman" w:eastAsia="宋体" w:hAnsi="Times New Roman"/>
          <w:szCs w:val="22"/>
        </w:rPr>
      </w:pPr>
      <w:r>
        <w:rPr>
          <w:rFonts w:ascii="Times New Roman" w:eastAsia="宋体" w:hAnsi="Times New Roman" w:hint="eastAsia"/>
          <w:szCs w:val="22"/>
        </w:rPr>
        <w:t>D</w:t>
      </w:r>
      <w:r>
        <w:rPr>
          <w:rFonts w:ascii="Times New Roman" w:eastAsia="宋体" w:hAnsi="Times New Roman"/>
          <w:szCs w:val="22"/>
        </w:rPr>
        <w:t>etermination of the UL slot used for SL HARQ-ACK reporting</w:t>
      </w:r>
    </w:p>
    <w:p w:rsidR="00634D19" w:rsidRPr="002569BD" w:rsidRDefault="007F7E79" w:rsidP="001F33B2">
      <w:pPr>
        <w:spacing w:beforeLines="0" w:afterLines="0"/>
        <w:rPr>
          <w:rFonts w:eastAsia="DengXian"/>
          <w:sz w:val="20"/>
          <w:highlight w:val="green"/>
          <w:lang w:eastAsia="ja-JP"/>
        </w:rPr>
      </w:pPr>
      <w:r w:rsidRPr="002569BD">
        <w:rPr>
          <w:rFonts w:eastAsia="DengXian"/>
          <w:sz w:val="20"/>
          <w:highlight w:val="green"/>
          <w:lang w:eastAsia="ja-JP"/>
        </w:rPr>
        <w:t>Agreements:</w:t>
      </w:r>
    </w:p>
    <w:p w:rsidR="00634D19" w:rsidRPr="002569BD" w:rsidRDefault="007F7E79" w:rsidP="001F33B2">
      <w:pPr>
        <w:numPr>
          <w:ilvl w:val="0"/>
          <w:numId w:val="10"/>
        </w:numPr>
        <w:spacing w:beforeLines="0" w:afterLines="0"/>
        <w:rPr>
          <w:rFonts w:eastAsia="Times New Roman"/>
          <w:sz w:val="20"/>
        </w:rPr>
      </w:pPr>
      <w:r w:rsidRPr="002569BD">
        <w:rPr>
          <w:sz w:val="20"/>
        </w:rPr>
        <w:t xml:space="preserve">In the determination of the UL slot used for SL HARQ-ACK reporting to the gNB: </w:t>
      </w:r>
    </w:p>
    <w:p w:rsidR="00634D19" w:rsidRPr="002569BD" w:rsidRDefault="007F7E79" w:rsidP="001F33B2">
      <w:pPr>
        <w:numPr>
          <w:ilvl w:val="1"/>
          <w:numId w:val="10"/>
        </w:numPr>
        <w:spacing w:beforeLines="0" w:afterLines="0"/>
        <w:rPr>
          <w:sz w:val="20"/>
        </w:rPr>
      </w:pPr>
      <w:r w:rsidRPr="002569BD">
        <w:rPr>
          <w:sz w:val="20"/>
        </w:rP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rsidR="00634D19" w:rsidRPr="002569BD" w:rsidRDefault="007F7E79" w:rsidP="001F33B2">
      <w:pPr>
        <w:numPr>
          <w:ilvl w:val="2"/>
          <w:numId w:val="10"/>
        </w:numPr>
        <w:spacing w:beforeLines="0" w:afterLines="0"/>
        <w:rPr>
          <w:sz w:val="20"/>
        </w:rPr>
      </w:pPr>
      <w:r w:rsidRPr="002569BD">
        <w:rPr>
          <w:sz w:val="20"/>
          <w:highlight w:val="yellow"/>
        </w:rPr>
        <w:t>FFS</w:t>
      </w:r>
      <w:r w:rsidRPr="002569BD">
        <w:rPr>
          <w:sz w:val="20"/>
        </w:rPr>
        <w:t>: corrections to cover the asynchronous case</w:t>
      </w:r>
    </w:p>
    <w:p w:rsidR="00634D19" w:rsidRPr="002569BD" w:rsidRDefault="007F7E79" w:rsidP="002569BD">
      <w:pPr>
        <w:spacing w:beforeLines="0" w:afterLines="0"/>
        <w:rPr>
          <w:sz w:val="20"/>
          <w:vertAlign w:val="subscript"/>
        </w:rPr>
      </w:pPr>
      <w:r w:rsidRPr="002569BD">
        <w:rPr>
          <w:sz w:val="20"/>
        </w:rPr>
        <w:lastRenderedPageBreak/>
        <w:t>From the analysis form section 2.3</w:t>
      </w:r>
      <w:bookmarkStart w:id="105" w:name="_GoBack"/>
      <w:bookmarkEnd w:id="105"/>
      <w:r w:rsidRPr="002569BD">
        <w:rPr>
          <w:sz w:val="20"/>
        </w:rPr>
        <w:t>, the resource of in-coverage mode1 UE is known to gNB</w:t>
      </w:r>
      <w:r w:rsidR="002569BD">
        <w:rPr>
          <w:sz w:val="20"/>
        </w:rPr>
        <w:t>, s</w:t>
      </w:r>
      <w:r w:rsidRPr="002569BD">
        <w:rPr>
          <w:sz w:val="20"/>
        </w:rPr>
        <w:t>o there is no</w:t>
      </w:r>
      <w:r w:rsidR="002569BD">
        <w:rPr>
          <w:sz w:val="20"/>
        </w:rPr>
        <w:t xml:space="preserve"> problem for gNB and UE to assume that the starting time of a</w:t>
      </w:r>
      <w:r w:rsidRPr="002569BD">
        <w:rPr>
          <w:sz w:val="20"/>
        </w:rPr>
        <w:t xml:space="preserve"> frame for sidelink transmission is given by the starting time of the frame for the downlink reception, </w:t>
      </w:r>
      <w:r w:rsidR="002569BD">
        <w:rPr>
          <w:sz w:val="20"/>
        </w:rPr>
        <w:t>regardless of</w:t>
      </w:r>
      <w:r w:rsidRPr="002569BD">
        <w:rPr>
          <w:sz w:val="20"/>
        </w:rPr>
        <w:t xml:space="preserve"> synchronous case or asynchronous case.</w:t>
      </w:r>
    </w:p>
    <w:p w:rsidR="00634D19" w:rsidRPr="002569BD" w:rsidRDefault="007F7E79" w:rsidP="006A7A42">
      <w:pPr>
        <w:pStyle w:val="YJ-Observation"/>
        <w:spacing w:beforeLines="0" w:afterLines="0"/>
        <w:rPr>
          <w:lang w:val="en-US" w:eastAsia="zh-CN"/>
        </w:rPr>
      </w:pPr>
      <w:bookmarkStart w:id="106" w:name="_Toc1718"/>
      <w:bookmarkStart w:id="107" w:name="_Toc13473"/>
      <w:bookmarkStart w:id="108" w:name="_Toc6202"/>
      <w:bookmarkStart w:id="109" w:name="_Toc21896"/>
      <w:bookmarkStart w:id="110" w:name="_Toc27126"/>
      <w:bookmarkStart w:id="111" w:name="_Toc40386519"/>
      <w:r w:rsidRPr="002569BD">
        <w:rPr>
          <w:lang w:val="en-US" w:eastAsia="zh-CN"/>
        </w:rPr>
        <w:t>For mode1 UE</w:t>
      </w:r>
      <w:r w:rsidR="002569BD">
        <w:rPr>
          <w:lang w:val="en-US" w:eastAsia="zh-CN"/>
        </w:rPr>
        <w:t xml:space="preserve">, </w:t>
      </w:r>
      <w:r w:rsidRPr="002569BD">
        <w:rPr>
          <w:lang w:val="en-US" w:eastAsia="zh-CN"/>
        </w:rPr>
        <w:t>the resource of in-coverage mode1 UE is known to gNB</w:t>
      </w:r>
      <w:r w:rsidR="002569BD">
        <w:rPr>
          <w:lang w:val="en-US" w:eastAsia="zh-CN"/>
        </w:rPr>
        <w:t xml:space="preserve">, </w:t>
      </w:r>
      <w:r w:rsidRPr="002569BD">
        <w:rPr>
          <w:lang w:val="en-US" w:eastAsia="zh-CN"/>
        </w:rPr>
        <w:t xml:space="preserve">and proper PUCCH resource can be scheduled for UE </w:t>
      </w:r>
      <w:r w:rsidR="002569BD">
        <w:rPr>
          <w:lang w:val="en-US" w:eastAsia="zh-CN"/>
        </w:rPr>
        <w:t>no matter</w:t>
      </w:r>
      <w:r w:rsidRPr="002569BD">
        <w:rPr>
          <w:lang w:val="en-US" w:eastAsia="zh-CN"/>
        </w:rPr>
        <w:t xml:space="preserve"> in synchronous case or in asynchronous case</w:t>
      </w:r>
      <w:bookmarkEnd w:id="106"/>
      <w:bookmarkEnd w:id="107"/>
      <w:bookmarkEnd w:id="108"/>
      <w:bookmarkEnd w:id="109"/>
      <w:bookmarkEnd w:id="110"/>
      <w:r w:rsidR="002569BD">
        <w:rPr>
          <w:lang w:val="en-US" w:eastAsia="zh-CN"/>
        </w:rPr>
        <w:t>.</w:t>
      </w:r>
      <w:bookmarkEnd w:id="111"/>
    </w:p>
    <w:p w:rsidR="00634D19" w:rsidRPr="002569BD" w:rsidRDefault="007F7E79" w:rsidP="002569BD">
      <w:pPr>
        <w:pStyle w:val="YJ-Proposal"/>
        <w:spacing w:beforeLines="0" w:afterLines="0"/>
        <w:rPr>
          <w:lang w:val="en-US" w:eastAsia="zh-CN"/>
        </w:rPr>
      </w:pPr>
      <w:bookmarkStart w:id="112" w:name="_Toc28357"/>
      <w:bookmarkStart w:id="113" w:name="_Toc8282"/>
      <w:bookmarkStart w:id="114" w:name="_Toc19978"/>
      <w:bookmarkStart w:id="115" w:name="_Toc8335"/>
      <w:bookmarkStart w:id="116" w:name="_Toc16537"/>
      <w:bookmarkStart w:id="117" w:name="_Toc17073"/>
      <w:bookmarkStart w:id="118" w:name="_Toc32689"/>
      <w:bookmarkStart w:id="119" w:name="_Toc40387027"/>
      <w:r w:rsidRPr="002569BD">
        <w:rPr>
          <w:lang w:val="en-US" w:eastAsia="zh-CN"/>
        </w:rPr>
        <w:t xml:space="preserve">No need to correct the </w:t>
      </w:r>
      <w:r w:rsidR="0062048B">
        <w:rPr>
          <w:lang w:val="en-US" w:eastAsia="ko-KR"/>
        </w:rPr>
        <w:t>agreement (the one determining UL slot)</w:t>
      </w:r>
      <w:r w:rsidRPr="002569BD">
        <w:rPr>
          <w:lang w:val="en-US" w:eastAsia="ko-KR"/>
        </w:rPr>
        <w:t xml:space="preserve"> </w:t>
      </w:r>
      <w:r w:rsidRPr="002569BD">
        <w:rPr>
          <w:lang w:val="en-US" w:eastAsia="zh-CN"/>
        </w:rPr>
        <w:t xml:space="preserve">to </w:t>
      </w:r>
      <w:r w:rsidRPr="002569BD">
        <w:t>cover the asynchronous case</w:t>
      </w:r>
      <w:bookmarkEnd w:id="112"/>
      <w:bookmarkEnd w:id="113"/>
      <w:bookmarkEnd w:id="114"/>
      <w:bookmarkEnd w:id="115"/>
      <w:bookmarkEnd w:id="116"/>
      <w:bookmarkEnd w:id="117"/>
      <w:bookmarkEnd w:id="118"/>
      <w:r w:rsidR="0062048B">
        <w:t>.</w:t>
      </w:r>
      <w:bookmarkEnd w:id="119"/>
    </w:p>
    <w:p w:rsidR="00634D19" w:rsidRDefault="0062048B">
      <w:pPr>
        <w:pStyle w:val="Heading2"/>
        <w:spacing w:before="120" w:after="120"/>
        <w:ind w:left="991" w:right="210" w:hangingChars="354" w:hanging="991"/>
        <w:rPr>
          <w:rFonts w:ascii="Times New Roman" w:eastAsia="宋体" w:hAnsi="Times New Roman"/>
          <w:szCs w:val="22"/>
        </w:rPr>
      </w:pPr>
      <w:r>
        <w:rPr>
          <w:rFonts w:ascii="Times New Roman" w:eastAsia="宋体" w:hAnsi="Times New Roman"/>
          <w:szCs w:val="22"/>
        </w:rPr>
        <w:t xml:space="preserve">Potential restriction to TB re-transmission </w:t>
      </w:r>
    </w:p>
    <w:p w:rsidR="0062048B" w:rsidRDefault="0062048B">
      <w:pPr>
        <w:spacing w:before="120" w:after="120"/>
        <w:rPr>
          <w:sz w:val="20"/>
        </w:rPr>
      </w:pPr>
      <w:r>
        <w:rPr>
          <w:sz w:val="20"/>
        </w:rPr>
        <w:t>It was agreed that:</w:t>
      </w:r>
    </w:p>
    <w:p w:rsidR="0062048B" w:rsidRPr="0062048B" w:rsidRDefault="0062048B" w:rsidP="0062048B">
      <w:pPr>
        <w:pStyle w:val="ListParagraph"/>
        <w:numPr>
          <w:ilvl w:val="0"/>
          <w:numId w:val="11"/>
        </w:numPr>
        <w:spacing w:before="120" w:after="120" w:line="252" w:lineRule="atLeast"/>
        <w:rPr>
          <w:sz w:val="20"/>
          <w:szCs w:val="20"/>
          <w:lang w:eastAsia="ko-KR"/>
        </w:rPr>
      </w:pPr>
      <w:r w:rsidRPr="0062048B">
        <w:rPr>
          <w:sz w:val="20"/>
          <w:szCs w:val="20"/>
          <w:lang w:eastAsia="ko-KR"/>
        </w:rPr>
        <w:t>Only one new TB can be transmitted in one period of the configured grant.</w:t>
      </w:r>
    </w:p>
    <w:p w:rsidR="0062048B" w:rsidRPr="0062048B" w:rsidRDefault="0062048B" w:rsidP="0062048B">
      <w:pPr>
        <w:pStyle w:val="ListParagraph"/>
        <w:numPr>
          <w:ilvl w:val="1"/>
          <w:numId w:val="11"/>
        </w:numPr>
        <w:spacing w:after="120" w:line="252" w:lineRule="atLeast"/>
        <w:rPr>
          <w:sz w:val="20"/>
          <w:szCs w:val="20"/>
          <w:lang w:eastAsia="ko-KR"/>
        </w:rPr>
      </w:pPr>
      <w:r w:rsidRPr="0062048B">
        <w:rPr>
          <w:sz w:val="20"/>
          <w:szCs w:val="20"/>
          <w:lang w:eastAsia="ko-KR"/>
        </w:rPr>
        <w:t>FFS any issue with retransmission spanning multiple periods</w:t>
      </w:r>
    </w:p>
    <w:p w:rsidR="0062048B" w:rsidRPr="0062048B" w:rsidRDefault="0062048B" w:rsidP="0062048B">
      <w:pPr>
        <w:pStyle w:val="ListParagraph"/>
        <w:numPr>
          <w:ilvl w:val="0"/>
          <w:numId w:val="11"/>
        </w:numPr>
        <w:spacing w:before="120" w:after="120"/>
        <w:rPr>
          <w:sz w:val="20"/>
          <w:szCs w:val="20"/>
        </w:rPr>
      </w:pPr>
      <w:r w:rsidRPr="0062048B">
        <w:rPr>
          <w:sz w:val="20"/>
          <w:szCs w:val="20"/>
          <w:lang w:eastAsia="ko-KR"/>
        </w:rPr>
        <w:t>The DCI scheduling the retransmissions uses the HARQ process ID corresponding to the fir</w:t>
      </w:r>
      <w:r>
        <w:rPr>
          <w:sz w:val="20"/>
          <w:szCs w:val="20"/>
          <w:lang w:eastAsia="ko-KR"/>
        </w:rPr>
        <w:t>st transmission of the TB</w:t>
      </w:r>
      <w:r w:rsidRPr="0062048B">
        <w:rPr>
          <w:sz w:val="20"/>
          <w:szCs w:val="20"/>
          <w:lang w:eastAsia="ko-KR"/>
        </w:rPr>
        <w:t>.</w:t>
      </w:r>
    </w:p>
    <w:p w:rsidR="00634D19" w:rsidRDefault="0062048B">
      <w:pPr>
        <w:spacing w:before="120" w:after="120"/>
        <w:rPr>
          <w:sz w:val="20"/>
        </w:rPr>
      </w:pPr>
      <w:r>
        <w:rPr>
          <w:sz w:val="20"/>
        </w:rPr>
        <w:t>It is also</w:t>
      </w:r>
      <w:r>
        <w:rPr>
          <w:rFonts w:hint="eastAsia"/>
          <w:sz w:val="20"/>
        </w:rPr>
        <w:t xml:space="preserve"> agreed</w:t>
      </w:r>
      <w:r>
        <w:rPr>
          <w:sz w:val="20"/>
        </w:rPr>
        <w:t xml:space="preserve"> that</w:t>
      </w:r>
      <w:r w:rsidR="007F7E79">
        <w:rPr>
          <w:rFonts w:hint="eastAsia"/>
          <w:sz w:val="20"/>
        </w:rPr>
        <w:t xml:space="preserve"> multiple HARQ process can be configured in a conf</w:t>
      </w:r>
      <w:r w:rsidR="006A7A42">
        <w:rPr>
          <w:rFonts w:hint="eastAsia"/>
          <w:sz w:val="20"/>
        </w:rPr>
        <w:t xml:space="preserve">igured grant transmission. </w:t>
      </w:r>
      <w:r w:rsidR="006A7A42">
        <w:rPr>
          <w:sz w:val="20"/>
        </w:rPr>
        <w:t>T</w:t>
      </w:r>
      <w:r w:rsidR="006A7A42">
        <w:rPr>
          <w:rFonts w:hint="eastAsia"/>
          <w:sz w:val="20"/>
        </w:rPr>
        <w:t>he HARQ ID repeat</w:t>
      </w:r>
      <w:r w:rsidR="006A7A42">
        <w:rPr>
          <w:sz w:val="20"/>
        </w:rPr>
        <w:t>s upon</w:t>
      </w:r>
      <w:r w:rsidR="007F7E79">
        <w:rPr>
          <w:rFonts w:hint="eastAsia"/>
          <w:sz w:val="20"/>
        </w:rPr>
        <w:t xml:space="preserve"> each period. So HARQ process conveying retransmission of a TB </w:t>
      </w:r>
      <w:r w:rsidR="007F7E79">
        <w:rPr>
          <w:sz w:val="20"/>
          <w:lang w:eastAsia="ko-KR"/>
        </w:rPr>
        <w:t>spanning multiple periods</w:t>
      </w:r>
      <w:r w:rsidR="007F7E79">
        <w:rPr>
          <w:rFonts w:hint="eastAsia"/>
          <w:sz w:val="20"/>
        </w:rPr>
        <w:t xml:space="preserve"> should be finished in any case before a new TB begin to transmit using the same HARQ process</w:t>
      </w:r>
      <w:r w:rsidR="006A7A42">
        <w:rPr>
          <w:sz w:val="20"/>
        </w:rPr>
        <w:t xml:space="preserve"> ID</w:t>
      </w:r>
      <w:r w:rsidR="006A7A42">
        <w:rPr>
          <w:rFonts w:hint="eastAsia"/>
          <w:sz w:val="20"/>
        </w:rPr>
        <w:t xml:space="preserve">, otherwise after </w:t>
      </w:r>
      <w:r w:rsidR="006A7A42">
        <w:rPr>
          <w:sz w:val="20"/>
        </w:rPr>
        <w:t>some</w:t>
      </w:r>
      <w:r w:rsidR="007F7E79">
        <w:rPr>
          <w:rFonts w:hint="eastAsia"/>
          <w:sz w:val="20"/>
        </w:rPr>
        <w:t xml:space="preserve"> </w:t>
      </w:r>
      <w:r w:rsidR="006A7A42">
        <w:rPr>
          <w:rFonts w:hint="eastAsia"/>
          <w:sz w:val="20"/>
        </w:rPr>
        <w:t xml:space="preserve">time there will be a case that </w:t>
      </w:r>
      <w:r w:rsidR="006A7A42">
        <w:rPr>
          <w:sz w:val="20"/>
        </w:rPr>
        <w:t>one</w:t>
      </w:r>
      <w:r w:rsidR="007F7E79">
        <w:rPr>
          <w:rFonts w:hint="eastAsia"/>
          <w:sz w:val="20"/>
        </w:rPr>
        <w:t xml:space="preserve"> HARQ process convey</w:t>
      </w:r>
      <w:r w:rsidR="006A7A42">
        <w:rPr>
          <w:sz w:val="20"/>
        </w:rPr>
        <w:t>s</w:t>
      </w:r>
      <w:r w:rsidR="007F7E79">
        <w:rPr>
          <w:rFonts w:hint="eastAsia"/>
          <w:sz w:val="20"/>
        </w:rPr>
        <w:t xml:space="preserve"> two different TB</w:t>
      </w:r>
      <w:r w:rsidR="006A7A42">
        <w:rPr>
          <w:sz w:val="20"/>
        </w:rPr>
        <w:t>s</w:t>
      </w:r>
      <w:r w:rsidR="007F7E79">
        <w:rPr>
          <w:rFonts w:hint="eastAsia"/>
          <w:sz w:val="20"/>
        </w:rPr>
        <w:t>.</w:t>
      </w:r>
    </w:p>
    <w:p w:rsidR="00634D19" w:rsidRDefault="007F7E79">
      <w:pPr>
        <w:pStyle w:val="YJ-Proposal"/>
        <w:spacing w:before="120" w:after="120"/>
        <w:rPr>
          <w:lang w:val="en-US" w:eastAsia="zh-CN"/>
        </w:rPr>
      </w:pPr>
      <w:bookmarkStart w:id="120" w:name="_Toc27144"/>
      <w:bookmarkStart w:id="121" w:name="_Toc14784"/>
      <w:bookmarkStart w:id="122" w:name="_Toc1367"/>
      <w:bookmarkStart w:id="123" w:name="_Toc27560"/>
      <w:bookmarkStart w:id="124" w:name="_Toc14755"/>
      <w:bookmarkStart w:id="125" w:name="_Toc21061"/>
      <w:bookmarkStart w:id="126" w:name="_Toc21576"/>
      <w:bookmarkStart w:id="127" w:name="_Toc31971"/>
      <w:bookmarkStart w:id="128" w:name="_Toc28183"/>
      <w:bookmarkStart w:id="129" w:name="_Toc30118"/>
      <w:bookmarkStart w:id="130" w:name="_Toc10977"/>
      <w:bookmarkStart w:id="131" w:name="_Toc12375"/>
      <w:bookmarkStart w:id="132" w:name="_Toc31427"/>
      <w:bookmarkStart w:id="133" w:name="_Toc26597"/>
      <w:bookmarkStart w:id="134" w:name="_Toc22499"/>
      <w:bookmarkStart w:id="135" w:name="_Toc24750"/>
      <w:bookmarkStart w:id="136" w:name="_Toc29147"/>
      <w:bookmarkStart w:id="137" w:name="_Toc17171"/>
      <w:bookmarkStart w:id="138" w:name="_Toc16888"/>
      <w:bookmarkStart w:id="139" w:name="_Toc11670"/>
      <w:bookmarkStart w:id="140" w:name="_Toc40387028"/>
      <w:r>
        <w:rPr>
          <w:rFonts w:hint="eastAsia"/>
          <w:lang w:val="en-US" w:eastAsia="zh-CN"/>
        </w:rPr>
        <w:t>UE is not expected that r</w:t>
      </w:r>
      <w:r>
        <w:rPr>
          <w:lang w:val="en-US" w:eastAsia="ko-KR"/>
        </w:rPr>
        <w:t>etransmission</w:t>
      </w:r>
      <w:r>
        <w:rPr>
          <w:rFonts w:hint="eastAsia"/>
          <w:lang w:val="en-US" w:eastAsia="zh-CN"/>
        </w:rPr>
        <w:t xml:space="preserve"> of a TB </w:t>
      </w:r>
      <w:r>
        <w:rPr>
          <w:lang w:val="en-US" w:eastAsia="ko-KR"/>
        </w:rPr>
        <w:t>span</w:t>
      </w:r>
      <w:r w:rsidR="006A7A42">
        <w:rPr>
          <w:lang w:val="en-US" w:eastAsia="ko-KR"/>
        </w:rPr>
        <w:t>s</w:t>
      </w:r>
      <w:r>
        <w:rPr>
          <w:lang w:val="en-US" w:eastAsia="ko-KR"/>
        </w:rPr>
        <w:t xml:space="preserve"> </w:t>
      </w:r>
      <w:r>
        <w:rPr>
          <w:rFonts w:hint="eastAsia"/>
          <w:lang w:val="en-US" w:eastAsia="zh-CN"/>
        </w:rPr>
        <w:t xml:space="preserve">N </w:t>
      </w:r>
      <w:r>
        <w:rPr>
          <w:lang w:val="en-US" w:eastAsia="ko-KR"/>
        </w:rPr>
        <w:t>periods</w:t>
      </w:r>
      <w:r>
        <w:rPr>
          <w:rFonts w:hint="eastAsia"/>
          <w:lang w:val="en-US" w:eastAsia="zh-CN"/>
        </w:rPr>
        <w:t xml:space="preserve"> where N is the number of HARQ process</w:t>
      </w:r>
      <w:r w:rsidR="006A7A42">
        <w:rPr>
          <w:lang w:val="en-US" w:eastAsia="zh-CN"/>
        </w:rPr>
        <w:t>es</w:t>
      </w:r>
      <w:r>
        <w:rPr>
          <w:rFonts w:hint="eastAsia"/>
          <w:lang w:val="en-US" w:eastAsia="zh-CN"/>
        </w:rPr>
        <w:t xml:space="preserve"> configured in configured grant RRC signal</w:t>
      </w:r>
      <w:r w:rsidR="006A7A42">
        <w:rPr>
          <w:lang w:val="en-US" w:eastAsia="zh-CN"/>
        </w:rPr>
        <w:t>ing</w:t>
      </w:r>
      <w:r>
        <w:rPr>
          <w:rFonts w:hint="eastAsia"/>
          <w:lang w:val="en-US" w:eastAsia="zh-CN"/>
        </w:rPr>
        <w: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634D19" w:rsidRDefault="007F7E79">
      <w:pPr>
        <w:pStyle w:val="Heading2"/>
        <w:spacing w:before="120" w:after="120"/>
        <w:ind w:left="991" w:right="210" w:hangingChars="354" w:hanging="991"/>
        <w:rPr>
          <w:rFonts w:ascii="Times New Roman" w:eastAsia="宋体" w:hAnsi="Times New Roman"/>
          <w:szCs w:val="22"/>
        </w:rPr>
      </w:pPr>
      <w:r>
        <w:rPr>
          <w:rFonts w:ascii="Times New Roman" w:eastAsia="宋体" w:hAnsi="Times New Roman"/>
          <w:szCs w:val="22"/>
        </w:rPr>
        <w:t>HARQ report</w:t>
      </w:r>
    </w:p>
    <w:tbl>
      <w:tblPr>
        <w:tblStyle w:val="TableGrid"/>
        <w:tblW w:w="9876" w:type="dxa"/>
        <w:tblLayout w:type="fixed"/>
        <w:tblLook w:val="04A0"/>
      </w:tblPr>
      <w:tblGrid>
        <w:gridCol w:w="9876"/>
      </w:tblGrid>
      <w:tr w:rsidR="00634D19" w:rsidRPr="006A7A42">
        <w:tc>
          <w:tcPr>
            <w:tcW w:w="9876" w:type="dxa"/>
          </w:tcPr>
          <w:p w:rsidR="00634D19" w:rsidRPr="006A7A42" w:rsidRDefault="007F7E79">
            <w:pPr>
              <w:widowControl/>
              <w:spacing w:before="120" w:after="120"/>
              <w:jc w:val="left"/>
              <w:rPr>
                <w:kern w:val="0"/>
                <w:sz w:val="20"/>
                <w:lang w:val="en-GB" w:eastAsia="en-US"/>
              </w:rPr>
            </w:pPr>
            <w:r w:rsidRPr="006A7A42">
              <w:rPr>
                <w:kern w:val="0"/>
                <w:sz w:val="20"/>
                <w:highlight w:val="green"/>
                <w:lang w:val="en-GB" w:eastAsia="en-US"/>
              </w:rPr>
              <w:t>Agreements</w:t>
            </w:r>
            <w:r w:rsidRPr="006A7A42">
              <w:rPr>
                <w:kern w:val="0"/>
                <w:sz w:val="20"/>
                <w:lang w:val="en-GB" w:eastAsia="en-US"/>
              </w:rPr>
              <w:t>:</w:t>
            </w:r>
          </w:p>
          <w:p w:rsidR="00634D19" w:rsidRPr="006A7A42" w:rsidRDefault="007F7E79">
            <w:pPr>
              <w:widowControl/>
              <w:numPr>
                <w:ilvl w:val="0"/>
                <w:numId w:val="12"/>
              </w:numPr>
              <w:spacing w:before="120" w:after="120"/>
              <w:jc w:val="left"/>
              <w:rPr>
                <w:kern w:val="0"/>
                <w:sz w:val="20"/>
              </w:rPr>
            </w:pPr>
            <w:r w:rsidRPr="006A7A42">
              <w:rPr>
                <w:kern w:val="0"/>
                <w:sz w:val="20"/>
              </w:rPr>
              <w:t>For dynamic grant, the number of retransmissions of a TB is up to the gNB.</w:t>
            </w:r>
          </w:p>
          <w:p w:rsidR="00634D19" w:rsidRPr="006A7A42" w:rsidRDefault="007F7E79" w:rsidP="006A7A42">
            <w:pPr>
              <w:widowControl/>
              <w:numPr>
                <w:ilvl w:val="0"/>
                <w:numId w:val="12"/>
              </w:numPr>
              <w:spacing w:before="120" w:after="120"/>
              <w:jc w:val="left"/>
              <w:rPr>
                <w:kern w:val="0"/>
                <w:sz w:val="20"/>
              </w:rPr>
            </w:pPr>
            <w:r w:rsidRPr="006A7A42">
              <w:rPr>
                <w:kern w:val="0"/>
                <w:sz w:val="20"/>
              </w:rPr>
              <w:t>For configured grant, the maximum number of times that a TB can be retransmitted using the resources provided by the configured grant is configured per priority per configured grant.</w:t>
            </w:r>
          </w:p>
        </w:tc>
      </w:tr>
    </w:tbl>
    <w:tbl>
      <w:tblPr>
        <w:tblW w:w="9619" w:type="dxa"/>
        <w:tblLayout w:type="fixed"/>
        <w:tblCellMar>
          <w:left w:w="0" w:type="dxa"/>
          <w:right w:w="0" w:type="dxa"/>
        </w:tblCellMar>
        <w:tblLook w:val="04A0"/>
      </w:tblPr>
      <w:tblGrid>
        <w:gridCol w:w="1520"/>
        <w:gridCol w:w="8099"/>
      </w:tblGrid>
      <w:tr w:rsidR="00634D19" w:rsidRPr="006A7A42">
        <w:tc>
          <w:tcPr>
            <w:tcW w:w="1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34D19" w:rsidRPr="006A7A42" w:rsidRDefault="007F7E79">
            <w:pPr>
              <w:spacing w:before="120" w:after="120"/>
              <w:rPr>
                <w:sz w:val="20"/>
              </w:rPr>
            </w:pPr>
            <w:r w:rsidRPr="006A7A42">
              <w:rPr>
                <w:sz w:val="20"/>
              </w:rPr>
              <w:t>Agreement for Q5</w:t>
            </w:r>
          </w:p>
        </w:tc>
        <w:tc>
          <w:tcPr>
            <w:tcW w:w="809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4D19" w:rsidRPr="006A7A42" w:rsidRDefault="007F7E79">
            <w:pPr>
              <w:spacing w:before="120" w:after="120"/>
              <w:rPr>
                <w:b/>
                <w:bCs/>
                <w:sz w:val="20"/>
                <w:lang w:eastAsia="fi-FI"/>
              </w:rPr>
            </w:pPr>
            <w:r w:rsidRPr="006A7A42">
              <w:rPr>
                <w:b/>
                <w:bCs/>
                <w:sz w:val="20"/>
                <w:highlight w:val="darkYellow"/>
              </w:rPr>
              <w:t>Working assumption</w:t>
            </w:r>
            <w:r w:rsidRPr="006A7A42">
              <w:rPr>
                <w:b/>
                <w:bCs/>
                <w:sz w:val="20"/>
              </w:rPr>
              <w:t xml:space="preserve">: </w:t>
            </w:r>
          </w:p>
          <w:p w:rsidR="00634D19" w:rsidRPr="006A7A42" w:rsidRDefault="007F7E79">
            <w:pPr>
              <w:numPr>
                <w:ilvl w:val="0"/>
                <w:numId w:val="13"/>
              </w:numPr>
              <w:spacing w:before="120" w:after="120" w:line="240" w:lineRule="auto"/>
              <w:rPr>
                <w:sz w:val="20"/>
              </w:rPr>
            </w:pPr>
            <w:r w:rsidRPr="006A7A42">
              <w:rPr>
                <w:sz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tc>
      </w:tr>
    </w:tbl>
    <w:p w:rsidR="00634D19" w:rsidRDefault="006A7A42" w:rsidP="00381386">
      <w:pPr>
        <w:spacing w:beforeLines="0" w:afterLines="0"/>
        <w:ind w:right="300"/>
        <w:rPr>
          <w:sz w:val="20"/>
        </w:rPr>
      </w:pPr>
      <w:r>
        <w:rPr>
          <w:rFonts w:hint="eastAsia"/>
          <w:sz w:val="20"/>
        </w:rPr>
        <w:t>For HARQ report issue</w:t>
      </w:r>
      <w:r w:rsidR="007F7E79">
        <w:rPr>
          <w:rFonts w:hint="eastAsia"/>
          <w:sz w:val="20"/>
        </w:rPr>
        <w:t xml:space="preserve">, the </w:t>
      </w:r>
      <w:r>
        <w:rPr>
          <w:sz w:val="20"/>
        </w:rPr>
        <w:t xml:space="preserve">above </w:t>
      </w:r>
      <w:r w:rsidR="007F7E79">
        <w:rPr>
          <w:rFonts w:hint="eastAsia"/>
          <w:sz w:val="20"/>
        </w:rPr>
        <w:t xml:space="preserve">WA is confirmed but </w:t>
      </w:r>
      <w:r>
        <w:rPr>
          <w:sz w:val="20"/>
        </w:rPr>
        <w:t>the content</w:t>
      </w:r>
      <w:r w:rsidR="007F7E79">
        <w:rPr>
          <w:sz w:val="20"/>
        </w:rPr>
        <w:t xml:space="preserve"> of the report</w:t>
      </w:r>
      <w:r>
        <w:rPr>
          <w:rFonts w:hint="eastAsia"/>
          <w:sz w:val="20"/>
        </w:rPr>
        <w:t xml:space="preserve"> </w:t>
      </w:r>
      <w:r w:rsidR="007F7E79">
        <w:rPr>
          <w:rFonts w:hint="eastAsia"/>
          <w:sz w:val="20"/>
        </w:rPr>
        <w:t>is still FFS.</w:t>
      </w:r>
    </w:p>
    <w:p w:rsidR="00634D19" w:rsidRPr="006A7A42" w:rsidRDefault="006A7A42" w:rsidP="00381386">
      <w:pPr>
        <w:spacing w:beforeLines="0" w:afterLines="0"/>
        <w:ind w:right="300"/>
        <w:rPr>
          <w:sz w:val="20"/>
        </w:rPr>
      </w:pPr>
      <w:r>
        <w:rPr>
          <w:sz w:val="20"/>
        </w:rPr>
        <w:t>T</w:t>
      </w:r>
      <w:r w:rsidR="007F7E79">
        <w:rPr>
          <w:rFonts w:hint="eastAsia"/>
          <w:sz w:val="20"/>
        </w:rPr>
        <w:t>he issue may target to configured grant transmission</w:t>
      </w:r>
      <w:r>
        <w:rPr>
          <w:sz w:val="20"/>
        </w:rPr>
        <w:t>,</w:t>
      </w:r>
      <w:r w:rsidR="007F7E79">
        <w:rPr>
          <w:rFonts w:hint="eastAsia"/>
          <w:sz w:val="20"/>
        </w:rPr>
        <w:t xml:space="preserve"> because for dynamic grant, the </w:t>
      </w:r>
      <w:r w:rsidR="007F7E79">
        <w:rPr>
          <w:sz w:val="20"/>
        </w:rPr>
        <w:t>maximum number of HARQ re-transmissions for a TB</w:t>
      </w:r>
      <w:r w:rsidR="007F7E79">
        <w:rPr>
          <w:rFonts w:hint="eastAsia"/>
          <w:sz w:val="20"/>
        </w:rPr>
        <w:t xml:space="preserve"> is up to gNB and </w:t>
      </w:r>
      <w:r>
        <w:rPr>
          <w:sz w:val="20"/>
        </w:rPr>
        <w:t xml:space="preserve">unknown to </w:t>
      </w:r>
      <w:r w:rsidR="007F7E79">
        <w:rPr>
          <w:rFonts w:hint="eastAsia"/>
          <w:sz w:val="20"/>
        </w:rPr>
        <w:t>UE</w:t>
      </w:r>
      <w:r>
        <w:rPr>
          <w:rFonts w:hint="eastAsia"/>
          <w:sz w:val="20"/>
        </w:rPr>
        <w:t xml:space="preserve">, </w:t>
      </w:r>
      <w:r>
        <w:rPr>
          <w:sz w:val="20"/>
        </w:rPr>
        <w:t>and</w:t>
      </w:r>
      <w:r w:rsidR="007F7E79">
        <w:rPr>
          <w:rFonts w:hint="eastAsia"/>
          <w:sz w:val="20"/>
        </w:rPr>
        <w:t xml:space="preserve"> UE just follow</w:t>
      </w:r>
      <w:r>
        <w:rPr>
          <w:sz w:val="20"/>
        </w:rPr>
        <w:t>s</w:t>
      </w:r>
      <w:r w:rsidR="007F7E79">
        <w:rPr>
          <w:rFonts w:hint="eastAsia"/>
          <w:sz w:val="20"/>
        </w:rPr>
        <w:t xml:space="preserve"> the existing agreement to generate HARQ report.</w:t>
      </w:r>
      <w:r>
        <w:rPr>
          <w:sz w:val="20"/>
        </w:rPr>
        <w:t xml:space="preserve"> </w:t>
      </w:r>
      <w:r w:rsidR="007F7E79">
        <w:rPr>
          <w:rFonts w:hint="eastAsia"/>
          <w:sz w:val="20"/>
        </w:rPr>
        <w:t xml:space="preserve">For configured grant transmission, </w:t>
      </w:r>
      <w:r w:rsidR="007F7E79">
        <w:rPr>
          <w:kern w:val="0"/>
          <w:sz w:val="20"/>
        </w:rPr>
        <w:t xml:space="preserve">maximum </w:t>
      </w:r>
      <w:r w:rsidR="007F7E79">
        <w:rPr>
          <w:rFonts w:hint="eastAsia"/>
          <w:kern w:val="0"/>
          <w:sz w:val="20"/>
        </w:rPr>
        <w:t xml:space="preserve">transmission </w:t>
      </w:r>
      <w:r w:rsidR="007F7E79">
        <w:rPr>
          <w:kern w:val="0"/>
          <w:sz w:val="20"/>
        </w:rPr>
        <w:t xml:space="preserve">number of a TB </w:t>
      </w:r>
      <w:r w:rsidR="007F7E79">
        <w:rPr>
          <w:rFonts w:hint="eastAsia"/>
          <w:kern w:val="0"/>
          <w:sz w:val="20"/>
        </w:rPr>
        <w:t xml:space="preserve">is </w:t>
      </w:r>
      <w:r w:rsidR="007F7E79">
        <w:rPr>
          <w:kern w:val="0"/>
          <w:sz w:val="20"/>
        </w:rPr>
        <w:t>configured per priority per configured grant</w:t>
      </w:r>
      <w:r>
        <w:rPr>
          <w:kern w:val="0"/>
          <w:sz w:val="20"/>
        </w:rPr>
        <w:t>.</w:t>
      </w:r>
      <w:r w:rsidR="007F7E79">
        <w:rPr>
          <w:rFonts w:hint="eastAsia"/>
          <w:kern w:val="0"/>
          <w:sz w:val="20"/>
        </w:rPr>
        <w:t xml:space="preserve"> </w:t>
      </w:r>
      <w:r>
        <w:rPr>
          <w:kern w:val="0"/>
          <w:sz w:val="20"/>
        </w:rPr>
        <w:t xml:space="preserve">Although </w:t>
      </w:r>
      <w:r w:rsidR="00381386">
        <w:rPr>
          <w:kern w:val="0"/>
          <w:sz w:val="20"/>
        </w:rPr>
        <w:t xml:space="preserve">it is </w:t>
      </w:r>
      <w:r w:rsidR="007F7E79">
        <w:rPr>
          <w:rFonts w:hint="eastAsia"/>
          <w:kern w:val="0"/>
          <w:sz w:val="20"/>
        </w:rPr>
        <w:t>gN</w:t>
      </w:r>
      <w:r w:rsidR="00381386">
        <w:rPr>
          <w:rFonts w:hint="eastAsia"/>
          <w:sz w:val="20"/>
        </w:rPr>
        <w:t xml:space="preserve">B </w:t>
      </w:r>
      <w:r w:rsidR="00381386">
        <w:rPr>
          <w:sz w:val="20"/>
        </w:rPr>
        <w:t xml:space="preserve">that </w:t>
      </w:r>
      <w:r w:rsidR="007F7E79">
        <w:rPr>
          <w:rFonts w:hint="eastAsia"/>
          <w:sz w:val="20"/>
        </w:rPr>
        <w:t>configure</w:t>
      </w:r>
      <w:r>
        <w:rPr>
          <w:sz w:val="20"/>
        </w:rPr>
        <w:t>s</w:t>
      </w:r>
      <w:r w:rsidR="007F7E79">
        <w:rPr>
          <w:rFonts w:hint="eastAsia"/>
          <w:sz w:val="20"/>
        </w:rPr>
        <w:t xml:space="preserve"> the transmission number of a TB for each priority</w:t>
      </w:r>
      <w:r w:rsidR="00381386">
        <w:rPr>
          <w:sz w:val="20"/>
        </w:rPr>
        <w:t>,</w:t>
      </w:r>
      <w:r w:rsidR="00381386">
        <w:rPr>
          <w:rFonts w:hint="eastAsia"/>
          <w:sz w:val="20"/>
        </w:rPr>
        <w:t xml:space="preserve"> </w:t>
      </w:r>
      <w:r w:rsidR="007F7E79">
        <w:rPr>
          <w:rFonts w:hint="eastAsia"/>
          <w:sz w:val="20"/>
        </w:rPr>
        <w:t xml:space="preserve">the specific priority </w:t>
      </w:r>
      <w:r w:rsidR="00381386">
        <w:rPr>
          <w:sz w:val="20"/>
        </w:rPr>
        <w:t>selected for a</w:t>
      </w:r>
      <w:r w:rsidR="00381386">
        <w:rPr>
          <w:rFonts w:hint="eastAsia"/>
          <w:sz w:val="20"/>
        </w:rPr>
        <w:t xml:space="preserve"> TB </w:t>
      </w:r>
      <w:r w:rsidR="00381386">
        <w:rPr>
          <w:sz w:val="20"/>
        </w:rPr>
        <w:t>is up to</w:t>
      </w:r>
      <w:r w:rsidR="00381386">
        <w:rPr>
          <w:rFonts w:hint="eastAsia"/>
          <w:sz w:val="20"/>
        </w:rPr>
        <w:t xml:space="preserve"> Tx UE </w:t>
      </w:r>
      <w:r w:rsidR="00381386">
        <w:rPr>
          <w:sz w:val="20"/>
        </w:rPr>
        <w:t xml:space="preserve">and </w:t>
      </w:r>
      <w:r w:rsidR="007F7E79">
        <w:rPr>
          <w:rFonts w:hint="eastAsia"/>
          <w:sz w:val="20"/>
        </w:rPr>
        <w:t>unknown</w:t>
      </w:r>
      <w:r w:rsidR="00381386">
        <w:rPr>
          <w:sz w:val="20"/>
        </w:rPr>
        <w:t xml:space="preserve"> to gNB</w:t>
      </w:r>
      <w:r w:rsidR="00381386">
        <w:rPr>
          <w:rFonts w:hint="eastAsia"/>
          <w:sz w:val="20"/>
        </w:rPr>
        <w:t xml:space="preserve">. So </w:t>
      </w:r>
      <w:r w:rsidR="00381386">
        <w:rPr>
          <w:sz w:val="20"/>
        </w:rPr>
        <w:t xml:space="preserve">gNB is still unaware </w:t>
      </w:r>
      <w:r w:rsidR="00381386">
        <w:rPr>
          <w:rFonts w:hint="eastAsia"/>
          <w:sz w:val="20"/>
        </w:rPr>
        <w:t xml:space="preserve">when </w:t>
      </w:r>
      <w:r w:rsidR="007F7E79">
        <w:rPr>
          <w:rFonts w:hint="eastAsia"/>
          <w:sz w:val="20"/>
        </w:rPr>
        <w:t xml:space="preserve">the maximum number of HARQ re-transmissions </w:t>
      </w:r>
      <w:r w:rsidR="00381386">
        <w:rPr>
          <w:sz w:val="20"/>
        </w:rPr>
        <w:t xml:space="preserve">is reached </w:t>
      </w:r>
      <w:r w:rsidR="007F7E79">
        <w:rPr>
          <w:rFonts w:hint="eastAsia"/>
          <w:sz w:val="20"/>
        </w:rPr>
        <w:t>for a TB</w:t>
      </w:r>
      <w:r w:rsidR="00381386">
        <w:rPr>
          <w:sz w:val="20"/>
        </w:rPr>
        <w:t>. Then</w:t>
      </w:r>
      <w:r w:rsidR="00381386">
        <w:rPr>
          <w:rFonts w:hint="eastAsia"/>
          <w:sz w:val="20"/>
        </w:rPr>
        <w:t xml:space="preserve"> it is reasonab</w:t>
      </w:r>
      <w:r w:rsidR="00381386">
        <w:rPr>
          <w:sz w:val="20"/>
        </w:rPr>
        <w:t>le</w:t>
      </w:r>
      <w:r w:rsidR="007F7E79">
        <w:rPr>
          <w:rFonts w:hint="eastAsia"/>
          <w:sz w:val="20"/>
        </w:rPr>
        <w:t xml:space="preserve"> </w:t>
      </w:r>
      <w:r w:rsidR="00381386">
        <w:rPr>
          <w:sz w:val="20"/>
        </w:rPr>
        <w:t xml:space="preserve">for the Tx UE to report </w:t>
      </w:r>
      <w:r w:rsidR="00381386">
        <w:rPr>
          <w:rFonts w:hint="eastAsia"/>
          <w:sz w:val="20"/>
        </w:rPr>
        <w:t xml:space="preserve">ACK </w:t>
      </w:r>
      <w:r w:rsidR="007F7E79">
        <w:rPr>
          <w:rFonts w:hint="eastAsia"/>
          <w:sz w:val="20"/>
        </w:rPr>
        <w:t xml:space="preserve">to terminate the </w:t>
      </w:r>
      <w:r w:rsidR="00381386">
        <w:rPr>
          <w:sz w:val="20"/>
        </w:rPr>
        <w:t xml:space="preserve">granted </w:t>
      </w:r>
      <w:r w:rsidR="007F7E79">
        <w:rPr>
          <w:rFonts w:hint="eastAsia"/>
          <w:sz w:val="20"/>
        </w:rPr>
        <w:t>transmission.</w:t>
      </w:r>
    </w:p>
    <w:p w:rsidR="00634D19" w:rsidRDefault="007F7E79" w:rsidP="00381386">
      <w:pPr>
        <w:pStyle w:val="YJ-Observation"/>
        <w:spacing w:beforeLines="0" w:afterLines="0"/>
        <w:rPr>
          <w:lang w:val="en-US" w:eastAsia="zh-CN"/>
        </w:rPr>
      </w:pPr>
      <w:bookmarkStart w:id="141" w:name="_Toc2148"/>
      <w:bookmarkStart w:id="142" w:name="_Toc30668"/>
      <w:bookmarkStart w:id="143" w:name="_Toc24115"/>
      <w:bookmarkStart w:id="144" w:name="_Toc11066"/>
      <w:bookmarkStart w:id="145" w:name="_Toc24951"/>
      <w:bookmarkStart w:id="146" w:name="_Toc29371"/>
      <w:bookmarkStart w:id="147" w:name="_Toc18567"/>
      <w:bookmarkStart w:id="148" w:name="_Toc12701"/>
      <w:bookmarkStart w:id="149" w:name="_Toc30206"/>
      <w:bookmarkStart w:id="150" w:name="_Toc2038"/>
      <w:bookmarkStart w:id="151" w:name="_Toc32304"/>
      <w:bookmarkStart w:id="152" w:name="_Toc2007"/>
      <w:bookmarkStart w:id="153" w:name="_Toc40386520"/>
      <w:r>
        <w:rPr>
          <w:rFonts w:hint="eastAsia"/>
          <w:lang w:val="en-US" w:eastAsia="zh-CN"/>
        </w:rPr>
        <w:t>gNB do</w:t>
      </w:r>
      <w:r w:rsidR="00381386">
        <w:rPr>
          <w:lang w:val="en-US" w:eastAsia="zh-CN"/>
        </w:rPr>
        <w:t>es</w:t>
      </w:r>
      <w:r>
        <w:rPr>
          <w:rFonts w:hint="eastAsia"/>
          <w:lang w:val="en-US" w:eastAsia="zh-CN"/>
        </w:rPr>
        <w:t xml:space="preserve"> not know when </w:t>
      </w:r>
      <w:r w:rsidR="00381386">
        <w:rPr>
          <w:lang w:val="en-US"/>
        </w:rPr>
        <w:t>max</w:t>
      </w:r>
      <w:r>
        <w:rPr>
          <w:lang w:val="en-US"/>
        </w:rPr>
        <w:t xml:space="preserve"> number of re-transmissions </w:t>
      </w:r>
      <w:r w:rsidR="00381386">
        <w:rPr>
          <w:lang w:val="en-US"/>
        </w:rPr>
        <w:t xml:space="preserve">is reached </w:t>
      </w:r>
      <w:r>
        <w:rPr>
          <w:lang w:val="en-US"/>
        </w:rPr>
        <w:t>for a TB</w:t>
      </w:r>
      <w:r>
        <w:rPr>
          <w:rFonts w:hint="eastAsia"/>
          <w:lang w:val="en-US" w:eastAsia="zh-CN"/>
        </w:rPr>
        <w:t xml:space="preserve"> scheduled by CG.</w:t>
      </w:r>
      <w:bookmarkEnd w:id="141"/>
      <w:bookmarkEnd w:id="142"/>
      <w:bookmarkEnd w:id="143"/>
      <w:bookmarkEnd w:id="144"/>
      <w:bookmarkEnd w:id="145"/>
      <w:bookmarkEnd w:id="146"/>
      <w:bookmarkEnd w:id="147"/>
      <w:bookmarkEnd w:id="148"/>
      <w:bookmarkEnd w:id="149"/>
      <w:bookmarkEnd w:id="150"/>
      <w:bookmarkEnd w:id="151"/>
      <w:bookmarkEnd w:id="152"/>
      <w:bookmarkEnd w:id="153"/>
    </w:p>
    <w:p w:rsidR="00634D19" w:rsidRDefault="007F7E79" w:rsidP="00381386">
      <w:pPr>
        <w:pStyle w:val="YJ-Proposal"/>
        <w:spacing w:beforeLines="0" w:afterLines="0"/>
        <w:rPr>
          <w:lang w:val="en-US" w:eastAsia="zh-CN"/>
        </w:rPr>
      </w:pPr>
      <w:bookmarkStart w:id="154" w:name="_Toc25112"/>
      <w:bookmarkStart w:id="155" w:name="_Toc10703"/>
      <w:bookmarkStart w:id="156" w:name="_Toc6122"/>
      <w:bookmarkStart w:id="157" w:name="_Toc24059"/>
      <w:bookmarkStart w:id="158" w:name="_Toc19078"/>
      <w:bookmarkStart w:id="159" w:name="_Toc26486"/>
      <w:bookmarkStart w:id="160" w:name="_Toc9909"/>
      <w:bookmarkStart w:id="161" w:name="_Toc27209"/>
      <w:bookmarkStart w:id="162" w:name="_Toc2249"/>
      <w:bookmarkStart w:id="163" w:name="_Toc18605"/>
      <w:bookmarkStart w:id="164" w:name="_Toc14821"/>
      <w:bookmarkStart w:id="165" w:name="_Toc3218"/>
      <w:bookmarkStart w:id="166" w:name="_Toc12588"/>
      <w:bookmarkStart w:id="167" w:name="_Toc1439"/>
      <w:bookmarkStart w:id="168" w:name="_Toc10688"/>
      <w:bookmarkStart w:id="169" w:name="_Toc30230"/>
      <w:bookmarkStart w:id="170" w:name="_Toc18254"/>
      <w:bookmarkStart w:id="171" w:name="_Toc3353"/>
      <w:bookmarkStart w:id="172" w:name="_Toc17233"/>
      <w:bookmarkStart w:id="173" w:name="_Toc1592"/>
      <w:bookmarkStart w:id="174" w:name="_Toc40387029"/>
      <w:r>
        <w:rPr>
          <w:rFonts w:hint="eastAsia"/>
          <w:szCs w:val="22"/>
          <w:lang w:val="en-US" w:eastAsia="zh-CN"/>
        </w:rPr>
        <w:t>In case of reaching the maximum number of HARQ re-transmissions for a TB</w:t>
      </w:r>
      <w:r w:rsidR="00381386">
        <w:rPr>
          <w:szCs w:val="22"/>
          <w:lang w:val="en-US" w:eastAsia="zh-CN"/>
        </w:rPr>
        <w:t xml:space="preserve"> scheduled by CG</w:t>
      </w:r>
      <w:r>
        <w:rPr>
          <w:rFonts w:hint="eastAsia"/>
          <w:szCs w:val="22"/>
          <w:lang w:val="en-US" w:eastAsia="zh-CN"/>
        </w:rPr>
        <w:t xml:space="preserve">, the UE sends one bit ACK </w:t>
      </w:r>
      <w:r w:rsidR="00381386">
        <w:rPr>
          <w:szCs w:val="22"/>
          <w:lang w:val="en-US" w:eastAsia="zh-CN"/>
        </w:rPr>
        <w:t>as</w:t>
      </w:r>
      <w:r>
        <w:rPr>
          <w:rFonts w:hint="eastAsia"/>
          <w:szCs w:val="22"/>
          <w:lang w:val="en-US" w:eastAsia="zh-CN"/>
        </w:rPr>
        <w:t xml:space="preserve"> SL HARQ-ACK reporting</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00381386">
        <w:rPr>
          <w:szCs w:val="22"/>
          <w:lang w:val="en-US" w:eastAsia="zh-CN"/>
        </w:rPr>
        <w:t xml:space="preserve"> to gNB.</w:t>
      </w:r>
      <w:bookmarkEnd w:id="174"/>
    </w:p>
    <w:p w:rsidR="00634D19" w:rsidRDefault="007F7E79">
      <w:pPr>
        <w:pStyle w:val="Heading2"/>
        <w:spacing w:before="120" w:after="120"/>
        <w:ind w:left="991" w:right="210" w:hangingChars="354" w:hanging="991"/>
        <w:rPr>
          <w:rFonts w:ascii="Times New Roman" w:eastAsia="宋体" w:hAnsi="Times New Roman"/>
          <w:szCs w:val="22"/>
        </w:rPr>
      </w:pPr>
      <w:r>
        <w:rPr>
          <w:rFonts w:ascii="Times New Roman" w:eastAsia="宋体" w:hAnsi="Times New Roman"/>
          <w:szCs w:val="22"/>
        </w:rPr>
        <w:lastRenderedPageBreak/>
        <w:t>Processing time</w:t>
      </w:r>
    </w:p>
    <w:p w:rsidR="00634D19" w:rsidRPr="006B0F45" w:rsidRDefault="006B0F45" w:rsidP="006B0F45">
      <w:pPr>
        <w:spacing w:before="120" w:after="120"/>
        <w:rPr>
          <w:b/>
          <w:i/>
          <w:u w:val="single"/>
        </w:rPr>
      </w:pPr>
      <w:r>
        <w:rPr>
          <w:b/>
          <w:i/>
          <w:u w:val="single"/>
        </w:rPr>
        <w:t>Preparation time for PSCCH/PSSCH</w:t>
      </w:r>
    </w:p>
    <w:p w:rsidR="00634D19" w:rsidRPr="00B671DE" w:rsidRDefault="007F7E79" w:rsidP="00381386">
      <w:pPr>
        <w:pStyle w:val="ListParagraph"/>
        <w:spacing w:before="120" w:afterLines="0" w:line="259" w:lineRule="auto"/>
        <w:ind w:left="0" w:right="300"/>
        <w:contextualSpacing w:val="0"/>
        <w:rPr>
          <w:rFonts w:eastAsia="宋体"/>
          <w:sz w:val="20"/>
          <w:szCs w:val="20"/>
        </w:rPr>
      </w:pPr>
      <w:r w:rsidRPr="00B671DE">
        <w:rPr>
          <w:rFonts w:eastAsia="宋体"/>
          <w:sz w:val="20"/>
          <w:szCs w:val="20"/>
        </w:rPr>
        <w:t xml:space="preserve">In NR Uu uplink DCI, a time domain resource allocation field is used to indicate when to transmit the PUSCH, and the indication is larger than a PUSCH preparation time defined in TR 38.214 section 6.4. </w:t>
      </w:r>
    </w:p>
    <w:p w:rsidR="00634D19" w:rsidRPr="00B671DE" w:rsidRDefault="00634D19" w:rsidP="00381386">
      <w:pPr>
        <w:pStyle w:val="ListParagraph"/>
        <w:spacing w:before="120" w:afterLines="0" w:line="259" w:lineRule="auto"/>
        <w:ind w:left="0" w:right="300"/>
        <w:contextualSpacing w:val="0"/>
        <w:jc w:val="center"/>
        <w:rPr>
          <w:rFonts w:eastAsia="宋体"/>
          <w:sz w:val="20"/>
          <w:szCs w:val="20"/>
        </w:rPr>
      </w:pPr>
      <w:r w:rsidRPr="00B671DE">
        <w:rPr>
          <w:color w:val="000000"/>
          <w:position w:val="-16"/>
          <w:sz w:val="20"/>
          <w:szCs w:val="20"/>
        </w:rPr>
        <w:object w:dxaOrig="4760" w:dyaOrig="440">
          <v:shape id="_x0000_i1037" type="#_x0000_t75" style="width:244.8pt;height:21.9pt" o:ole="">
            <v:imagedata r:id="rId28" o:title=""/>
          </v:shape>
          <o:OLEObject Type="Embed" ProgID="Equation.DSMT4" ShapeID="_x0000_i1037" DrawAspect="Content" ObjectID="_1651000011" r:id="rId29"/>
        </w:object>
      </w:r>
    </w:p>
    <w:p w:rsidR="00634D19" w:rsidRPr="00B671DE" w:rsidRDefault="007F7E79" w:rsidP="00381386">
      <w:pPr>
        <w:pStyle w:val="ListParagraph"/>
        <w:spacing w:before="120" w:afterLines="0" w:line="259" w:lineRule="auto"/>
        <w:ind w:left="0" w:right="300"/>
        <w:contextualSpacing w:val="0"/>
        <w:rPr>
          <w:rFonts w:eastAsia="宋体"/>
          <w:sz w:val="20"/>
          <w:szCs w:val="20"/>
        </w:rPr>
      </w:pPr>
      <w:r w:rsidRPr="00B671DE">
        <w:rPr>
          <w:rFonts w:eastAsia="宋体"/>
          <w:sz w:val="20"/>
          <w:szCs w:val="20"/>
        </w:rPr>
        <w:t>As the procedure of transmitting PSSCH is similar to transmitting PUSCH, the PUSCH preparation time can be reused for PSCCH/PSSCH preparation time with small modification:</w:t>
      </w:r>
    </w:p>
    <w:p w:rsidR="00634D19" w:rsidRPr="00B671DE" w:rsidRDefault="00634D19" w:rsidP="00381386">
      <w:pPr>
        <w:pStyle w:val="ListParagraph"/>
        <w:spacing w:before="120" w:afterLines="0" w:line="259" w:lineRule="auto"/>
        <w:ind w:left="0" w:right="300"/>
        <w:contextualSpacing w:val="0"/>
        <w:jc w:val="center"/>
        <w:rPr>
          <w:color w:val="000000"/>
          <w:position w:val="-16"/>
          <w:sz w:val="20"/>
          <w:szCs w:val="20"/>
        </w:rPr>
      </w:pPr>
      <w:r w:rsidRPr="00B671DE">
        <w:rPr>
          <w:color w:val="000000"/>
          <w:position w:val="-16"/>
          <w:sz w:val="20"/>
          <w:szCs w:val="20"/>
        </w:rPr>
        <w:object w:dxaOrig="4580" w:dyaOrig="440">
          <v:shape id="_x0000_i1038" type="#_x0000_t75" style="width:236.15pt;height:21.9pt" o:ole="">
            <v:imagedata r:id="rId30" o:title=""/>
          </v:shape>
          <o:OLEObject Type="Embed" ProgID="Equation.DSMT4" ShapeID="_x0000_i1038" DrawAspect="Content" ObjectID="_1651000012" r:id="rId31"/>
        </w:object>
      </w:r>
    </w:p>
    <w:p w:rsidR="00634D19" w:rsidRPr="00B671DE" w:rsidRDefault="00B671DE" w:rsidP="00381386">
      <w:pPr>
        <w:pStyle w:val="ListParagraph"/>
        <w:spacing w:before="120" w:afterLines="0" w:line="259" w:lineRule="auto"/>
        <w:ind w:left="0" w:right="300"/>
        <w:contextualSpacing w:val="0"/>
        <w:rPr>
          <w:rFonts w:eastAsia="宋体"/>
          <w:sz w:val="20"/>
          <w:szCs w:val="20"/>
        </w:rPr>
      </w:pPr>
      <w:proofErr w:type="gramStart"/>
      <w:r w:rsidRPr="00B671DE">
        <w:rPr>
          <w:rFonts w:eastAsia="宋体"/>
          <w:sz w:val="20"/>
          <w:szCs w:val="20"/>
        </w:rPr>
        <w:t>w</w:t>
      </w:r>
      <w:r w:rsidR="00BD5C21">
        <w:rPr>
          <w:rFonts w:eastAsia="宋体"/>
          <w:sz w:val="20"/>
          <w:szCs w:val="20"/>
        </w:rPr>
        <w:t>here</w:t>
      </w:r>
      <w:proofErr w:type="gramEnd"/>
      <w:r w:rsidR="00BD5C21">
        <w:rPr>
          <w:rFonts w:eastAsia="宋体"/>
          <w:sz w:val="20"/>
          <w:szCs w:val="20"/>
        </w:rPr>
        <w:t xml:space="preserve"> N is based on min(μ_SL, μ_D</w:t>
      </w:r>
      <w:r w:rsidR="007F7E79" w:rsidRPr="00B671DE">
        <w:rPr>
          <w:rFonts w:eastAsia="宋体"/>
          <w:sz w:val="20"/>
          <w:szCs w:val="20"/>
        </w:rPr>
        <w:t xml:space="preserve">L), </w:t>
      </w:r>
      <w:r w:rsidRPr="00B671DE">
        <w:rPr>
          <w:rFonts w:eastAsia="宋体"/>
          <w:sz w:val="20"/>
          <w:szCs w:val="20"/>
        </w:rPr>
        <w:t>e.g.</w:t>
      </w:r>
      <w:r w:rsidR="007F7E79" w:rsidRPr="00B671DE">
        <w:rPr>
          <w:rFonts w:eastAsia="宋体"/>
          <w:sz w:val="20"/>
          <w:szCs w:val="20"/>
        </w:rPr>
        <w:t>, N can be 10,10,23 and 36 correspond</w:t>
      </w:r>
      <w:r w:rsidRPr="00B671DE">
        <w:rPr>
          <w:rFonts w:eastAsia="宋体"/>
          <w:sz w:val="20"/>
          <w:szCs w:val="20"/>
        </w:rPr>
        <w:t>ing</w:t>
      </w:r>
      <w:r w:rsidR="007F7E79" w:rsidRPr="00B671DE">
        <w:rPr>
          <w:rFonts w:eastAsia="宋体"/>
          <w:sz w:val="20"/>
          <w:szCs w:val="20"/>
        </w:rPr>
        <w:t xml:space="preserve"> to the SCS min(μ_SL, μ_</w:t>
      </w:r>
      <w:r w:rsidR="007F7E79" w:rsidRPr="00B671DE">
        <w:rPr>
          <w:rFonts w:eastAsia="宋体" w:hint="eastAsia"/>
          <w:sz w:val="20"/>
          <w:szCs w:val="20"/>
        </w:rPr>
        <w:t>D</w:t>
      </w:r>
      <w:r w:rsidR="007F7E79" w:rsidRPr="00B671DE">
        <w:rPr>
          <w:rFonts w:eastAsia="宋体"/>
          <w:sz w:val="20"/>
          <w:szCs w:val="20"/>
        </w:rPr>
        <w:t>L).</w:t>
      </w:r>
      <w:r w:rsidR="00381386">
        <w:rPr>
          <w:rFonts w:eastAsia="宋体"/>
          <w:sz w:val="20"/>
          <w:szCs w:val="20"/>
        </w:rPr>
        <w:t xml:space="preserve"> </w:t>
      </w:r>
      <w:r w:rsidR="007F7E79" w:rsidRPr="00B671DE">
        <w:rPr>
          <w:rFonts w:eastAsia="宋体"/>
          <w:sz w:val="20"/>
          <w:szCs w:val="20"/>
        </w:rPr>
        <w:t>X1 is 0 because no DMRS decoding is needed</w:t>
      </w:r>
      <w:r w:rsidRPr="00B671DE">
        <w:rPr>
          <w:rFonts w:eastAsia="宋体"/>
          <w:sz w:val="20"/>
          <w:szCs w:val="20"/>
        </w:rPr>
        <w:t xml:space="preserve">. </w:t>
      </w:r>
      <w:r w:rsidR="007F7E79" w:rsidRPr="00B671DE">
        <w:rPr>
          <w:rFonts w:eastAsia="宋体"/>
          <w:sz w:val="20"/>
          <w:szCs w:val="20"/>
        </w:rPr>
        <w:t>X2 is equal to the BWP switching time</w:t>
      </w:r>
      <w:r w:rsidRPr="00B671DE">
        <w:rPr>
          <w:rFonts w:eastAsia="宋体"/>
          <w:sz w:val="20"/>
          <w:szCs w:val="20"/>
        </w:rPr>
        <w:t>.</w:t>
      </w:r>
      <w:r w:rsidR="007F7E79" w:rsidRPr="00B671DE">
        <w:rPr>
          <w:rFonts w:eastAsia="宋体"/>
          <w:sz w:val="20"/>
          <w:szCs w:val="20"/>
        </w:rPr>
        <w:t xml:space="preserve"> </w:t>
      </w:r>
      <w:r w:rsidRPr="00B671DE">
        <w:rPr>
          <w:rFonts w:eastAsia="宋体"/>
          <w:sz w:val="20"/>
          <w:szCs w:val="20"/>
        </w:rPr>
        <w:t>Given</w:t>
      </w:r>
      <w:r w:rsidR="007F7E79" w:rsidRPr="00B671DE">
        <w:rPr>
          <w:rFonts w:eastAsia="宋体"/>
          <w:sz w:val="20"/>
          <w:szCs w:val="20"/>
        </w:rPr>
        <w:t xml:space="preserve"> there is only one SL BWP configured for a UE, X2 can also be 0.</w:t>
      </w:r>
    </w:p>
    <w:p w:rsidR="00634D19" w:rsidRPr="00B671DE" w:rsidRDefault="007F7E79" w:rsidP="00381386">
      <w:pPr>
        <w:pStyle w:val="YJ-Proposal"/>
        <w:spacing w:beforeLines="0" w:afterLines="0"/>
        <w:rPr>
          <w:lang w:val="en-US" w:eastAsia="zh-CN"/>
        </w:rPr>
      </w:pPr>
      <w:bookmarkStart w:id="175" w:name="_Toc4435"/>
      <w:bookmarkStart w:id="176" w:name="_Toc20164"/>
      <w:bookmarkStart w:id="177" w:name="_Toc22962"/>
      <w:bookmarkStart w:id="178" w:name="_Toc6085"/>
      <w:bookmarkStart w:id="179" w:name="_Toc9879"/>
      <w:bookmarkStart w:id="180" w:name="_Toc6806"/>
      <w:bookmarkStart w:id="181" w:name="_Toc23908"/>
      <w:bookmarkStart w:id="182" w:name="_Toc28748"/>
      <w:bookmarkStart w:id="183" w:name="_Toc22889"/>
      <w:bookmarkStart w:id="184" w:name="_Toc9163"/>
      <w:bookmarkStart w:id="185" w:name="_Toc2661"/>
      <w:bookmarkStart w:id="186" w:name="_Toc18729"/>
      <w:bookmarkStart w:id="187" w:name="_Toc9735"/>
      <w:bookmarkStart w:id="188" w:name="_Toc28628"/>
      <w:bookmarkStart w:id="189" w:name="_Toc19116"/>
      <w:bookmarkStart w:id="190" w:name="_Toc3415"/>
      <w:bookmarkStart w:id="191" w:name="_Toc13152"/>
      <w:bookmarkStart w:id="192" w:name="_Toc21012"/>
      <w:bookmarkStart w:id="193" w:name="_Toc10189"/>
      <w:bookmarkStart w:id="194" w:name="_Toc20403"/>
      <w:bookmarkStart w:id="195" w:name="_Toc40387030"/>
      <w:r w:rsidRPr="00B671DE">
        <w:rPr>
          <w:lang w:val="en-US" w:eastAsia="zh-CN"/>
        </w:rPr>
        <w:t>For PSCCH/PSSCH preparation time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B671DE">
        <w:rPr>
          <w:rFonts w:eastAsia="宋体" w:hint="eastAsia"/>
          <w:lang w:val="en-US" w:eastAsia="zh-CN"/>
        </w:rPr>
        <w:t>:</w:t>
      </w:r>
      <w:bookmarkEnd w:id="189"/>
      <w:bookmarkEnd w:id="190"/>
      <w:bookmarkEnd w:id="191"/>
      <w:bookmarkEnd w:id="192"/>
      <w:bookmarkEnd w:id="193"/>
      <w:bookmarkEnd w:id="195"/>
    </w:p>
    <w:p w:rsidR="00634D19" w:rsidRPr="00B671DE" w:rsidRDefault="007F7E79" w:rsidP="00381386">
      <w:pPr>
        <w:pStyle w:val="sub-proposal"/>
        <w:spacing w:beforeLines="0" w:afterLines="0"/>
        <w:rPr>
          <w:lang w:val="en-US" w:eastAsia="zh-CN"/>
        </w:rPr>
      </w:pPr>
      <w:bookmarkStart w:id="196" w:name="_Toc14230"/>
      <w:bookmarkStart w:id="197" w:name="_Toc2383"/>
      <w:bookmarkStart w:id="198" w:name="_Toc40387031"/>
      <w:bookmarkEnd w:id="194"/>
      <w:r w:rsidRPr="00B671DE">
        <w:rPr>
          <w:rFonts w:eastAsia="Times New Roman"/>
        </w:rPr>
        <w:t>T</w:t>
      </w:r>
      <w:r w:rsidRPr="00B671DE">
        <w:rPr>
          <w:rFonts w:eastAsia="宋体" w:hint="eastAsia"/>
          <w:vertAlign w:val="subscript"/>
          <w:lang w:val="en-US" w:eastAsia="zh-CN"/>
        </w:rPr>
        <w:t>pro,sl</w:t>
      </w:r>
      <w:r w:rsidRPr="00B671DE">
        <w:rPr>
          <w:rFonts w:eastAsia="Times New Roman"/>
        </w:rPr>
        <w:t xml:space="preserve"> = N</w:t>
      </w:r>
      <w:r w:rsidRPr="00B671DE">
        <w:rPr>
          <w:rFonts w:eastAsia="宋体" w:hint="eastAsia"/>
          <w:lang w:val="en-US" w:eastAsia="zh-CN"/>
        </w:rPr>
        <w:t>1</w:t>
      </w:r>
      <w:r w:rsidRPr="00B671DE">
        <w:rPr>
          <w:rFonts w:eastAsia="Times New Roman"/>
        </w:rPr>
        <w:t>∙ (2048+144) ∙ k ∙ 2</w:t>
      </w:r>
      <w:r w:rsidRPr="00B671DE">
        <w:rPr>
          <w:rFonts w:eastAsia="Times New Roman"/>
          <w:vertAlign w:val="superscript"/>
        </w:rPr>
        <w:t xml:space="preserve"> –μ</w:t>
      </w:r>
      <w:r w:rsidRPr="00B671DE">
        <w:rPr>
          <w:rFonts w:eastAsia="Times New Roman"/>
        </w:rPr>
        <w:t xml:space="preserve"> ∙ Tc</w:t>
      </w:r>
      <w:bookmarkEnd w:id="196"/>
      <w:bookmarkEnd w:id="197"/>
      <w:bookmarkEnd w:id="198"/>
    </w:p>
    <w:p w:rsidR="00634D19" w:rsidRPr="00B671DE" w:rsidRDefault="007F7E79" w:rsidP="00381386">
      <w:pPr>
        <w:pStyle w:val="sub-proposal"/>
        <w:spacing w:beforeLines="0" w:afterLines="0"/>
        <w:rPr>
          <w:rFonts w:eastAsia="宋体"/>
          <w:lang w:val="en-US" w:eastAsia="zh-CN"/>
        </w:rPr>
      </w:pPr>
      <w:bookmarkStart w:id="199" w:name="_Toc5643"/>
      <w:bookmarkStart w:id="200" w:name="_Toc14427"/>
      <w:bookmarkStart w:id="201" w:name="_Toc30710"/>
      <w:bookmarkStart w:id="202" w:name="_Toc40387032"/>
      <w:r w:rsidRPr="00B671DE">
        <w:rPr>
          <w:rFonts w:eastAsia="宋体"/>
          <w:lang w:val="en-US" w:eastAsia="zh-CN"/>
        </w:rPr>
        <w:t>N</w:t>
      </w:r>
      <w:r w:rsidRPr="00B671DE">
        <w:rPr>
          <w:rFonts w:eastAsia="宋体" w:hint="eastAsia"/>
          <w:lang w:val="en-US" w:eastAsia="zh-CN"/>
        </w:rPr>
        <w:t>1</w:t>
      </w:r>
      <w:r w:rsidRPr="00B671DE">
        <w:rPr>
          <w:rFonts w:eastAsia="宋体"/>
          <w:lang w:val="en-US" w:eastAsia="zh-CN"/>
        </w:rPr>
        <w:t xml:space="preserve"> </w:t>
      </w:r>
      <w:r w:rsidRPr="00B671DE">
        <w:rPr>
          <w:rFonts w:hint="eastAsia"/>
          <w:lang w:val="en-US" w:eastAsia="zh-CN"/>
        </w:rPr>
        <w:t>is</w:t>
      </w:r>
      <w:r w:rsidRPr="00B671DE">
        <w:rPr>
          <w:rFonts w:eastAsia="宋体"/>
          <w:lang w:val="en-US" w:eastAsia="zh-CN"/>
        </w:rPr>
        <w:t xml:space="preserve"> 10,10,23 and 36 </w:t>
      </w:r>
      <w:r w:rsidRPr="00B671DE">
        <w:rPr>
          <w:rFonts w:eastAsia="宋体"/>
        </w:rPr>
        <w:t>correspond</w:t>
      </w:r>
      <w:r w:rsidR="00B671DE" w:rsidRPr="00B671DE">
        <w:rPr>
          <w:rFonts w:eastAsia="宋体"/>
        </w:rPr>
        <w:t>ing</w:t>
      </w:r>
      <w:r w:rsidRPr="00B671DE">
        <w:rPr>
          <w:rFonts w:eastAsia="宋体"/>
        </w:rPr>
        <w:t xml:space="preserve"> to</w:t>
      </w:r>
      <w:r w:rsidR="00B45441" w:rsidRPr="00B45441">
        <w:rPr>
          <w:rFonts w:eastAsia="Times New Roman"/>
        </w:rPr>
        <w:t xml:space="preserve"> </w:t>
      </w:r>
      <w:r w:rsidR="00B45441" w:rsidRPr="00B671DE">
        <w:rPr>
          <w:rFonts w:eastAsia="Times New Roman"/>
        </w:rPr>
        <w:t>μ of 0, 1, 2 and 3</w:t>
      </w:r>
      <w:r w:rsidR="00B45441">
        <w:rPr>
          <w:rFonts w:eastAsia="Times New Roman"/>
        </w:rPr>
        <w:t>, where</w:t>
      </w:r>
      <w:r w:rsidRPr="00B671DE">
        <w:rPr>
          <w:rFonts w:eastAsia="宋体"/>
        </w:rPr>
        <w:t xml:space="preserve"> μ</w:t>
      </w:r>
      <w:r w:rsidRPr="00B671DE">
        <w:rPr>
          <w:rFonts w:eastAsia="Times New Roman"/>
        </w:rPr>
        <w:t xml:space="preserve"> = min(μ_SL, μ_</w:t>
      </w:r>
      <w:r w:rsidRPr="00B671DE">
        <w:rPr>
          <w:rFonts w:eastAsia="宋体" w:hint="eastAsia"/>
          <w:lang w:val="en-US" w:eastAsia="zh-CN"/>
        </w:rPr>
        <w:t>D</w:t>
      </w:r>
      <w:r w:rsidRPr="00B671DE">
        <w:rPr>
          <w:rFonts w:eastAsia="Times New Roman"/>
        </w:rPr>
        <w:t>L)</w:t>
      </w:r>
      <w:bookmarkEnd w:id="199"/>
      <w:bookmarkEnd w:id="200"/>
      <w:bookmarkEnd w:id="201"/>
      <w:bookmarkEnd w:id="202"/>
    </w:p>
    <w:p w:rsidR="00634D19" w:rsidRPr="006B0F45" w:rsidRDefault="006B0F45" w:rsidP="00381386">
      <w:pPr>
        <w:spacing w:beforeLines="100" w:after="120"/>
        <w:rPr>
          <w:b/>
          <w:i/>
          <w:u w:val="single"/>
        </w:rPr>
      </w:pPr>
      <w:r w:rsidRPr="006B0F45">
        <w:rPr>
          <w:b/>
          <w:i/>
          <w:u w:val="single"/>
        </w:rPr>
        <w:t xml:space="preserve">Preparation time for </w:t>
      </w:r>
      <w:r w:rsidR="007F7E79" w:rsidRPr="006B0F45">
        <w:rPr>
          <w:b/>
          <w:i/>
          <w:u w:val="single"/>
        </w:rPr>
        <w:t>HARQ-ACK reporting to gNB</w:t>
      </w:r>
    </w:p>
    <w:p w:rsidR="00634D19" w:rsidRPr="00B671DE" w:rsidRDefault="007F7E79" w:rsidP="00381386">
      <w:pPr>
        <w:spacing w:beforeLines="0" w:afterLines="0"/>
        <w:rPr>
          <w:rFonts w:ascii="Calibri" w:hAnsi="Calibri"/>
          <w:sz w:val="20"/>
          <w:highlight w:val="green"/>
          <w:lang w:eastAsia="ja-JP"/>
        </w:rPr>
      </w:pPr>
      <w:r w:rsidRPr="00B671DE">
        <w:rPr>
          <w:sz w:val="20"/>
          <w:highlight w:val="green"/>
          <w:lang w:eastAsia="ja-JP"/>
        </w:rPr>
        <w:t>Agreements:</w:t>
      </w:r>
    </w:p>
    <w:p w:rsidR="00634D19" w:rsidRPr="00B671DE" w:rsidRDefault="007F7E79" w:rsidP="00381386">
      <w:pPr>
        <w:numPr>
          <w:ilvl w:val="0"/>
          <w:numId w:val="14"/>
        </w:numPr>
        <w:spacing w:beforeLines="0" w:afterLines="0"/>
        <w:rPr>
          <w:rFonts w:eastAsia="Times New Roman"/>
          <w:sz w:val="20"/>
        </w:rPr>
      </w:pPr>
      <w:r w:rsidRPr="00B671DE">
        <w:rPr>
          <w:rFonts w:eastAsia="Times New Roman"/>
          <w:sz w:val="20"/>
        </w:rPr>
        <w:t>A UE does not expect to be scheduled to transmit the UL report corresponding to a PSFCH reception earlier than T</w:t>
      </w:r>
      <w:r w:rsidRPr="00B671DE">
        <w:rPr>
          <w:rFonts w:eastAsia="Times New Roman"/>
          <w:sz w:val="20"/>
          <w:vertAlign w:val="subscript"/>
        </w:rPr>
        <w:t>prep</w:t>
      </w:r>
      <w:r w:rsidRPr="00B671DE">
        <w:rPr>
          <w:rFonts w:eastAsia="Times New Roman"/>
          <w:sz w:val="20"/>
        </w:rPr>
        <w:t xml:space="preserve"> after the end of the PSFCH. </w:t>
      </w:r>
    </w:p>
    <w:p w:rsidR="00634D19" w:rsidRPr="00B671DE" w:rsidRDefault="007F7E79" w:rsidP="00381386">
      <w:pPr>
        <w:numPr>
          <w:ilvl w:val="1"/>
          <w:numId w:val="14"/>
        </w:numPr>
        <w:spacing w:beforeLines="0" w:afterLines="0"/>
        <w:rPr>
          <w:rFonts w:eastAsia="Times New Roman"/>
          <w:sz w:val="20"/>
        </w:rPr>
      </w:pPr>
      <w:r w:rsidRPr="00B671DE">
        <w:rPr>
          <w:rFonts w:eastAsia="Times New Roman"/>
          <w:sz w:val="20"/>
        </w:rPr>
        <w:t>This includes the effect of time advance.</w:t>
      </w:r>
    </w:p>
    <w:p w:rsidR="00634D19" w:rsidRPr="00B671DE" w:rsidRDefault="007F7E79" w:rsidP="00381386">
      <w:pPr>
        <w:numPr>
          <w:ilvl w:val="1"/>
          <w:numId w:val="14"/>
        </w:numPr>
        <w:spacing w:beforeLines="0" w:afterLines="0"/>
        <w:rPr>
          <w:rFonts w:eastAsia="Times New Roman"/>
          <w:sz w:val="20"/>
        </w:rPr>
      </w:pPr>
      <w:r w:rsidRPr="00B671DE">
        <w:rPr>
          <w:rFonts w:eastAsia="Times New Roman"/>
          <w:sz w:val="20"/>
        </w:rPr>
        <w:t>T</w:t>
      </w:r>
      <w:r w:rsidRPr="00B671DE">
        <w:rPr>
          <w:rFonts w:eastAsia="Times New Roman"/>
          <w:sz w:val="20"/>
          <w:vertAlign w:val="subscript"/>
        </w:rPr>
        <w:t>prep</w:t>
      </w:r>
      <w:r w:rsidRPr="00B671DE">
        <w:rPr>
          <w:rFonts w:eastAsia="Times New Roman"/>
          <w:sz w:val="20"/>
        </w:rPr>
        <w:t xml:space="preserve"> = (N+X) ∙ (2048+144) ∙ k ∙ 2</w:t>
      </w:r>
      <w:r w:rsidRPr="00B671DE">
        <w:rPr>
          <w:rFonts w:eastAsia="Times New Roman"/>
          <w:sz w:val="20"/>
          <w:vertAlign w:val="superscript"/>
        </w:rPr>
        <w:t xml:space="preserve"> –μ</w:t>
      </w:r>
      <w:r w:rsidRPr="00B671DE">
        <w:rPr>
          <w:rFonts w:eastAsia="Times New Roman"/>
          <w:sz w:val="20"/>
        </w:rPr>
        <w:t xml:space="preserve"> ∙ T_c where: </w:t>
      </w:r>
    </w:p>
    <w:p w:rsidR="00634D19" w:rsidRPr="00B671DE" w:rsidRDefault="007F7E79" w:rsidP="00381386">
      <w:pPr>
        <w:numPr>
          <w:ilvl w:val="2"/>
          <w:numId w:val="14"/>
        </w:numPr>
        <w:spacing w:beforeLines="0" w:afterLines="0"/>
        <w:rPr>
          <w:rFonts w:eastAsia="Times New Roman"/>
          <w:sz w:val="20"/>
        </w:rPr>
      </w:pPr>
      <w:r w:rsidRPr="00B671DE">
        <w:rPr>
          <w:rFonts w:eastAsia="Times New Roman"/>
          <w:sz w:val="20"/>
          <w:highlight w:val="darkYellow"/>
        </w:rPr>
        <w:t>Working assumption</w:t>
      </w:r>
      <w:r w:rsidRPr="00B671DE">
        <w:rPr>
          <w:rFonts w:eastAsia="Times New Roman"/>
          <w:sz w:val="20"/>
        </w:rPr>
        <w:t>: N is 14, 18, 28 and 32 corresponds to the SCS configuration μ of 0, 1, 2 and 3, μ = min(μ_SL, μ_UL)</w:t>
      </w:r>
    </w:p>
    <w:p w:rsidR="00634D19" w:rsidRPr="00B671DE" w:rsidRDefault="007F7E79" w:rsidP="00381386">
      <w:pPr>
        <w:numPr>
          <w:ilvl w:val="2"/>
          <w:numId w:val="14"/>
        </w:numPr>
        <w:spacing w:beforeLines="0" w:afterLines="0"/>
        <w:rPr>
          <w:rFonts w:eastAsia="Times New Roman"/>
          <w:sz w:val="20"/>
        </w:rPr>
      </w:pPr>
      <w:r w:rsidRPr="00B671DE">
        <w:rPr>
          <w:rFonts w:eastAsia="Times New Roman"/>
          <w:sz w:val="20"/>
        </w:rPr>
        <w:t>k = T_s / T_c (parameters as defined in 38.211)</w:t>
      </w:r>
    </w:p>
    <w:p w:rsidR="00634D19" w:rsidRPr="00B671DE" w:rsidRDefault="007F7E79" w:rsidP="00381386">
      <w:pPr>
        <w:numPr>
          <w:ilvl w:val="2"/>
          <w:numId w:val="14"/>
        </w:numPr>
        <w:spacing w:beforeLines="0" w:afterLines="0"/>
        <w:rPr>
          <w:rFonts w:eastAsia="Times New Roman"/>
          <w:strike/>
          <w:sz w:val="20"/>
        </w:rPr>
      </w:pPr>
      <w:r w:rsidRPr="00B671DE">
        <w:rPr>
          <w:rFonts w:eastAsia="Times New Roman"/>
          <w:sz w:val="20"/>
          <w:highlight w:val="yellow"/>
        </w:rPr>
        <w:t>FFS</w:t>
      </w:r>
      <w:r w:rsidRPr="00B671DE">
        <w:rPr>
          <w:rFonts w:eastAsia="Times New Roman"/>
          <w:sz w:val="20"/>
        </w:rPr>
        <w:t xml:space="preserve"> X (including the possibility of value 0)</w:t>
      </w:r>
    </w:p>
    <w:p w:rsidR="00634D19" w:rsidRPr="00B671DE" w:rsidRDefault="007F7E79" w:rsidP="00381386">
      <w:pPr>
        <w:spacing w:beforeLines="0" w:afterLines="0"/>
        <w:ind w:right="300"/>
        <w:rPr>
          <w:sz w:val="20"/>
        </w:rPr>
      </w:pPr>
      <w:r w:rsidRPr="00B671DE">
        <w:rPr>
          <w:sz w:val="20"/>
        </w:rPr>
        <w:t>The PDSCH processing time is considered as:</w:t>
      </w:r>
    </w:p>
    <w:bookmarkStart w:id="203" w:name="_Hlk500865557"/>
    <w:bookmarkStart w:id="204" w:name="_Hlk508187268"/>
    <w:p w:rsidR="00634D19" w:rsidRPr="00B671DE" w:rsidRDefault="00634D19" w:rsidP="00381386">
      <w:pPr>
        <w:spacing w:beforeLines="0" w:afterLines="0"/>
        <w:ind w:right="300"/>
        <w:jc w:val="center"/>
        <w:rPr>
          <w:sz w:val="20"/>
        </w:rPr>
      </w:pPr>
      <w:r w:rsidRPr="00B671DE">
        <w:rPr>
          <w:sz w:val="20"/>
        </w:rPr>
        <w:object w:dxaOrig="3660" w:dyaOrig="400">
          <v:shape id="_x0000_i1039" type="#_x0000_t75" style="width:180.3pt;height:21.9pt" o:ole="">
            <v:imagedata r:id="rId32" o:title=""/>
          </v:shape>
          <o:OLEObject Type="Embed" ProgID="Equation.DSMT4" ShapeID="_x0000_i1039" DrawAspect="Content" ObjectID="_1651000013" r:id="rId33"/>
        </w:object>
      </w:r>
      <w:bookmarkEnd w:id="203"/>
      <w:bookmarkEnd w:id="204"/>
    </w:p>
    <w:p w:rsidR="00634D19" w:rsidRPr="00B671DE" w:rsidRDefault="007F7E79" w:rsidP="00381386">
      <w:pPr>
        <w:spacing w:beforeLines="0" w:afterLines="0"/>
        <w:ind w:right="300"/>
        <w:rPr>
          <w:sz w:val="20"/>
        </w:rPr>
      </w:pPr>
      <w:r w:rsidRPr="00B671DE">
        <w:rPr>
          <w:sz w:val="20"/>
        </w:rPr>
        <w:t xml:space="preserve">where value of N1 is set according to </w:t>
      </w:r>
      <w:r w:rsidRPr="00B671DE">
        <w:rPr>
          <w:sz w:val="20"/>
          <w:lang w:val="en-AU"/>
        </w:rPr>
        <w:t>table 5.3-1 and table 5.3-2</w:t>
      </w:r>
      <w:r w:rsidRPr="00B671DE">
        <w:rPr>
          <w:sz w:val="20"/>
        </w:rPr>
        <w:t>[2]:</w:t>
      </w:r>
    </w:p>
    <w:p w:rsidR="00634D19" w:rsidRPr="00B671DE" w:rsidRDefault="00B45441" w:rsidP="00381386">
      <w:pPr>
        <w:spacing w:beforeLines="0" w:afterLines="0"/>
        <w:ind w:right="300"/>
        <w:rPr>
          <w:sz w:val="20"/>
        </w:rPr>
      </w:pPr>
      <w:r>
        <w:rPr>
          <w:sz w:val="20"/>
        </w:rPr>
        <w:t>Under assumption</w:t>
      </w:r>
      <w:r w:rsidR="007F7E79" w:rsidRPr="00B671DE">
        <w:rPr>
          <w:sz w:val="20"/>
        </w:rPr>
        <w:t xml:space="preserve"> that the PSFCH processing time is no longer than PDSCH process</w:t>
      </w:r>
      <w:r>
        <w:rPr>
          <w:sz w:val="20"/>
        </w:rPr>
        <w:t xml:space="preserve">ing time defined in NR Uu, </w:t>
      </w:r>
      <w:r w:rsidR="007F7E79" w:rsidRPr="00B671DE">
        <w:rPr>
          <w:sz w:val="20"/>
        </w:rPr>
        <w:t xml:space="preserve">the PDSCH processing time </w:t>
      </w:r>
      <w:r>
        <w:rPr>
          <w:sz w:val="20"/>
        </w:rPr>
        <w:t>can be</w:t>
      </w:r>
      <w:r w:rsidR="007F7E79" w:rsidRPr="00B671DE">
        <w:rPr>
          <w:sz w:val="20"/>
        </w:rPr>
        <w:t xml:space="preserve"> </w:t>
      </w:r>
      <w:r>
        <w:rPr>
          <w:sz w:val="20"/>
        </w:rPr>
        <w:t xml:space="preserve">taken as </w:t>
      </w:r>
      <w:r w:rsidR="007F7E79" w:rsidRPr="00B671DE">
        <w:rPr>
          <w:sz w:val="20"/>
        </w:rPr>
        <w:t xml:space="preserve">reference. For example N </w:t>
      </w:r>
      <w:r>
        <w:rPr>
          <w:sz w:val="20"/>
        </w:rPr>
        <w:t>is 13, 13, 20 and 24 correspond</w:t>
      </w:r>
      <w:r w:rsidR="007F7E79" w:rsidRPr="00B671DE">
        <w:rPr>
          <w:sz w:val="20"/>
        </w:rPr>
        <w:t xml:space="preserve"> to the SCS configuration μ of 0, 1, 2 and 3, </w:t>
      </w:r>
      <w:r w:rsidR="007F7E79" w:rsidRPr="00B671DE">
        <w:rPr>
          <w:rFonts w:eastAsia="Times New Roman"/>
          <w:sz w:val="20"/>
        </w:rPr>
        <w:t>μ = min(μ_SL, μ_UL)</w:t>
      </w:r>
      <w:r w:rsidR="007F7E79" w:rsidRPr="00B671DE">
        <w:rPr>
          <w:sz w:val="20"/>
        </w:rPr>
        <w:t>.</w:t>
      </w:r>
    </w:p>
    <w:p w:rsidR="00634D19" w:rsidRPr="00B671DE" w:rsidRDefault="007F7E79" w:rsidP="00381386">
      <w:pPr>
        <w:spacing w:beforeLines="0" w:afterLines="0"/>
        <w:ind w:right="300"/>
        <w:rPr>
          <w:sz w:val="20"/>
        </w:rPr>
      </w:pPr>
      <w:r w:rsidRPr="00B671DE">
        <w:rPr>
          <w:sz w:val="20"/>
        </w:rPr>
        <w:t xml:space="preserve">For value of X, </w:t>
      </w:r>
      <w:r w:rsidR="00B45441">
        <w:rPr>
          <w:sz w:val="20"/>
        </w:rPr>
        <w:t>if there are</w:t>
      </w:r>
      <w:r w:rsidRPr="00B671DE">
        <w:rPr>
          <w:sz w:val="20"/>
        </w:rPr>
        <w:t xml:space="preserve"> multiple X valu</w:t>
      </w:r>
      <w:r w:rsidR="00B45441">
        <w:rPr>
          <w:sz w:val="20"/>
        </w:rPr>
        <w:t xml:space="preserve">es and the UE’s selection decision is unknown to gNB, </w:t>
      </w:r>
      <w:r w:rsidRPr="00B671DE">
        <w:rPr>
          <w:sz w:val="20"/>
        </w:rPr>
        <w:t>the PSFCH prepa</w:t>
      </w:r>
      <w:r w:rsidR="00B45441">
        <w:rPr>
          <w:sz w:val="20"/>
        </w:rPr>
        <w:t>ring time is unknown to gNB, which</w:t>
      </w:r>
      <w:r w:rsidRPr="00B671DE">
        <w:rPr>
          <w:sz w:val="20"/>
        </w:rPr>
        <w:t xml:space="preserve"> make</w:t>
      </w:r>
      <w:r w:rsidR="00B45441">
        <w:rPr>
          <w:sz w:val="20"/>
        </w:rPr>
        <w:t>s</w:t>
      </w:r>
      <w:r w:rsidRPr="00B671DE">
        <w:rPr>
          <w:sz w:val="20"/>
        </w:rPr>
        <w:t xml:space="preserve"> it difficult for gNB to schedule a proper PUCCH resource for sidelink UE. So </w:t>
      </w:r>
      <w:r w:rsidR="00B45441">
        <w:rPr>
          <w:sz w:val="20"/>
        </w:rPr>
        <w:t>a single</w:t>
      </w:r>
      <w:r w:rsidRPr="00B671DE">
        <w:rPr>
          <w:sz w:val="20"/>
        </w:rPr>
        <w:t xml:space="preserve"> value for X</w:t>
      </w:r>
      <w:r w:rsidR="00B45441">
        <w:rPr>
          <w:sz w:val="20"/>
        </w:rPr>
        <w:t xml:space="preserve"> is preferred</w:t>
      </w:r>
      <w:r w:rsidRPr="00B671DE">
        <w:rPr>
          <w:sz w:val="20"/>
        </w:rPr>
        <w:t>.</w:t>
      </w:r>
    </w:p>
    <w:p w:rsidR="00634D19" w:rsidRPr="00B671DE" w:rsidRDefault="007F7E79" w:rsidP="00381386">
      <w:pPr>
        <w:pStyle w:val="YJ-Proposal"/>
        <w:spacing w:beforeLines="0" w:afterLines="0"/>
        <w:rPr>
          <w:color w:val="000000"/>
          <w:lang w:val="en-US" w:eastAsia="zh-CN"/>
        </w:rPr>
      </w:pPr>
      <w:bookmarkStart w:id="205" w:name="_Toc11824"/>
      <w:bookmarkStart w:id="206" w:name="_Toc25720"/>
      <w:bookmarkStart w:id="207" w:name="_Toc8327"/>
      <w:bookmarkStart w:id="208" w:name="_Toc17845"/>
      <w:bookmarkStart w:id="209" w:name="_Toc12026"/>
      <w:bookmarkStart w:id="210" w:name="_Toc14026"/>
      <w:bookmarkStart w:id="211" w:name="_Toc21218"/>
      <w:bookmarkStart w:id="212" w:name="_Toc169"/>
      <w:bookmarkStart w:id="213" w:name="_Toc40387033"/>
      <w:r w:rsidRPr="00B671DE">
        <w:rPr>
          <w:rFonts w:hint="eastAsia"/>
          <w:color w:val="000000"/>
          <w:lang w:val="en-US" w:eastAsia="zh-CN"/>
        </w:rPr>
        <w:t xml:space="preserve">For </w:t>
      </w:r>
      <w:r w:rsidRPr="00B671DE">
        <w:rPr>
          <w:rFonts w:hint="eastAsia"/>
          <w:lang w:val="en-US" w:eastAsia="zh-CN"/>
        </w:rPr>
        <w:t xml:space="preserve">PSFCH </w:t>
      </w:r>
      <w:r w:rsidRPr="00B671DE">
        <w:rPr>
          <w:rFonts w:hint="eastAsia"/>
          <w:color w:val="000000"/>
          <w:lang w:val="en-US" w:eastAsia="zh-CN"/>
        </w:rPr>
        <w:t>processing time</w:t>
      </w:r>
      <w:bookmarkEnd w:id="205"/>
      <w:bookmarkEnd w:id="206"/>
      <w:bookmarkEnd w:id="207"/>
      <w:bookmarkEnd w:id="208"/>
      <w:bookmarkEnd w:id="209"/>
      <w:bookmarkEnd w:id="210"/>
      <w:bookmarkEnd w:id="211"/>
      <w:bookmarkEnd w:id="212"/>
      <w:r w:rsidR="00B45441">
        <w:rPr>
          <w:color w:val="000000"/>
          <w:lang w:val="en-US" w:eastAsia="zh-CN"/>
        </w:rPr>
        <w:t>,</w:t>
      </w:r>
      <w:bookmarkEnd w:id="213"/>
    </w:p>
    <w:p w:rsidR="00634D19" w:rsidRPr="00B671DE" w:rsidRDefault="007F7E79" w:rsidP="00381386">
      <w:pPr>
        <w:pStyle w:val="sub-proposal"/>
        <w:spacing w:beforeLines="0" w:afterLines="0"/>
        <w:rPr>
          <w:rFonts w:eastAsia="Times New Roman"/>
        </w:rPr>
      </w:pPr>
      <w:bookmarkStart w:id="214" w:name="_Toc14387"/>
      <w:bookmarkStart w:id="215" w:name="_Toc30630"/>
      <w:bookmarkStart w:id="216" w:name="_Toc5669"/>
      <w:bookmarkStart w:id="217" w:name="_Toc32360"/>
      <w:bookmarkStart w:id="218" w:name="_Toc19298"/>
      <w:bookmarkStart w:id="219" w:name="_Toc339"/>
      <w:bookmarkStart w:id="220" w:name="_Toc25009"/>
      <w:bookmarkStart w:id="221" w:name="_Toc32267"/>
      <w:bookmarkStart w:id="222" w:name="_Toc40387034"/>
      <w:r w:rsidRPr="00B671DE">
        <w:rPr>
          <w:rFonts w:eastAsia="Times New Roman"/>
        </w:rPr>
        <w:t>N is 1</w:t>
      </w:r>
      <w:r w:rsidRPr="00B671DE">
        <w:rPr>
          <w:rFonts w:eastAsia="宋体" w:hint="eastAsia"/>
          <w:lang w:val="en-US" w:eastAsia="zh-CN"/>
        </w:rPr>
        <w:t>3</w:t>
      </w:r>
      <w:r w:rsidRPr="00B671DE">
        <w:rPr>
          <w:rFonts w:eastAsia="Times New Roman"/>
        </w:rPr>
        <w:t>, 1</w:t>
      </w:r>
      <w:r w:rsidRPr="00B671DE">
        <w:rPr>
          <w:rFonts w:eastAsia="宋体" w:hint="eastAsia"/>
          <w:lang w:val="en-US" w:eastAsia="zh-CN"/>
        </w:rPr>
        <w:t>3</w:t>
      </w:r>
      <w:r w:rsidRPr="00B671DE">
        <w:rPr>
          <w:rFonts w:eastAsia="Times New Roman"/>
        </w:rPr>
        <w:t>, 2</w:t>
      </w:r>
      <w:r w:rsidRPr="00B671DE">
        <w:rPr>
          <w:rFonts w:eastAsia="宋体" w:hint="eastAsia"/>
          <w:lang w:val="en-US" w:eastAsia="zh-CN"/>
        </w:rPr>
        <w:t>0</w:t>
      </w:r>
      <w:r w:rsidRPr="00B671DE">
        <w:rPr>
          <w:rFonts w:eastAsia="Times New Roman"/>
        </w:rPr>
        <w:t xml:space="preserve"> and </w:t>
      </w:r>
      <w:r w:rsidRPr="00B671DE">
        <w:rPr>
          <w:rFonts w:eastAsia="宋体" w:hint="eastAsia"/>
          <w:lang w:val="en-US" w:eastAsia="zh-CN"/>
        </w:rPr>
        <w:t>24</w:t>
      </w:r>
      <w:r w:rsidRPr="00B671DE">
        <w:rPr>
          <w:rFonts w:eastAsia="Times New Roman"/>
        </w:rPr>
        <w:t xml:space="preserve"> corresponds to </w:t>
      </w:r>
      <w:bookmarkEnd w:id="214"/>
      <w:bookmarkEnd w:id="215"/>
      <w:bookmarkEnd w:id="216"/>
      <w:bookmarkEnd w:id="217"/>
      <w:bookmarkEnd w:id="218"/>
      <w:bookmarkEnd w:id="219"/>
      <w:bookmarkEnd w:id="220"/>
      <w:bookmarkEnd w:id="221"/>
      <w:r w:rsidR="00B45441" w:rsidRPr="00B671DE">
        <w:rPr>
          <w:rFonts w:eastAsia="Times New Roman"/>
        </w:rPr>
        <w:t>μ of 0, 1, 2 and 3</w:t>
      </w:r>
      <w:r w:rsidR="00B45441">
        <w:rPr>
          <w:rFonts w:eastAsia="Times New Roman"/>
        </w:rPr>
        <w:t>, where</w:t>
      </w:r>
      <w:r w:rsidR="00B45441" w:rsidRPr="00B45441">
        <w:rPr>
          <w:rFonts w:eastAsia="宋体"/>
        </w:rPr>
        <w:t xml:space="preserve"> </w:t>
      </w:r>
      <w:r w:rsidR="00B45441" w:rsidRPr="00B671DE">
        <w:rPr>
          <w:rFonts w:eastAsia="宋体"/>
        </w:rPr>
        <w:t>μ</w:t>
      </w:r>
      <w:r w:rsidR="00B45441" w:rsidRPr="00B671DE">
        <w:rPr>
          <w:rFonts w:eastAsia="Times New Roman"/>
        </w:rPr>
        <w:t xml:space="preserve"> = </w:t>
      </w:r>
      <w:proofErr w:type="gramStart"/>
      <w:r w:rsidR="00B45441" w:rsidRPr="00B671DE">
        <w:rPr>
          <w:rFonts w:eastAsia="Times New Roman"/>
        </w:rPr>
        <w:t>min(</w:t>
      </w:r>
      <w:proofErr w:type="gramEnd"/>
      <w:r w:rsidR="00B45441" w:rsidRPr="00B671DE">
        <w:rPr>
          <w:rFonts w:eastAsia="Times New Roman"/>
        </w:rPr>
        <w:t>μ_SL, μ_</w:t>
      </w:r>
      <w:r w:rsidR="00E34F81">
        <w:rPr>
          <w:rFonts w:eastAsia="宋体"/>
          <w:lang w:val="en-US" w:eastAsia="zh-CN"/>
        </w:rPr>
        <w:t>U</w:t>
      </w:r>
      <w:r w:rsidR="00B45441" w:rsidRPr="00B671DE">
        <w:rPr>
          <w:rFonts w:eastAsia="Times New Roman"/>
        </w:rPr>
        <w:t>L)</w:t>
      </w:r>
      <w:r w:rsidR="00B45441">
        <w:rPr>
          <w:rFonts w:eastAsia="Times New Roman"/>
        </w:rPr>
        <w:t>.</w:t>
      </w:r>
      <w:bookmarkEnd w:id="222"/>
    </w:p>
    <w:p w:rsidR="00634D19" w:rsidRPr="00B671DE" w:rsidRDefault="00B45441" w:rsidP="00381386">
      <w:pPr>
        <w:pStyle w:val="sub-proposal"/>
        <w:spacing w:beforeLines="0" w:afterLines="0"/>
        <w:rPr>
          <w:rFonts w:eastAsia="宋体"/>
          <w:lang w:val="en-US" w:eastAsia="zh-CN"/>
        </w:rPr>
      </w:pPr>
      <w:bookmarkStart w:id="223" w:name="_Toc40387035"/>
      <w:r>
        <w:rPr>
          <w:lang w:val="en-US" w:eastAsia="zh-CN"/>
        </w:rPr>
        <w:t>X has one fixed value.</w:t>
      </w:r>
      <w:bookmarkEnd w:id="223"/>
      <w:r>
        <w:rPr>
          <w:lang w:val="en-US" w:eastAsia="zh-CN"/>
        </w:rPr>
        <w:t xml:space="preserve"> </w:t>
      </w:r>
    </w:p>
    <w:p w:rsidR="00634D19" w:rsidRDefault="007F7E79">
      <w:pPr>
        <w:pStyle w:val="Heading2"/>
        <w:spacing w:before="120" w:after="120"/>
        <w:ind w:left="991" w:right="210" w:hangingChars="354" w:hanging="991"/>
        <w:rPr>
          <w:rFonts w:ascii="Times New Roman" w:eastAsia="宋体" w:hAnsi="Times New Roman"/>
          <w:szCs w:val="22"/>
        </w:rPr>
      </w:pPr>
      <w:r>
        <w:rPr>
          <w:rFonts w:ascii="Times New Roman" w:eastAsia="宋体" w:hAnsi="Times New Roman"/>
          <w:szCs w:val="22"/>
        </w:rPr>
        <w:lastRenderedPageBreak/>
        <w:t>Details for transmission of HARQ-ACK reports on PUSC</w:t>
      </w:r>
      <w:r w:rsidR="00ED0DA6">
        <w:rPr>
          <w:rFonts w:ascii="Times New Roman" w:eastAsia="宋体" w:hAnsi="Times New Roman"/>
          <w:szCs w:val="22"/>
        </w:rPr>
        <w:t>H</w:t>
      </w:r>
    </w:p>
    <w:p w:rsidR="00634D19" w:rsidRDefault="007F7E79" w:rsidP="00ED0DA6">
      <w:pPr>
        <w:spacing w:beforeLines="0" w:afterLines="0"/>
        <w:rPr>
          <w:sz w:val="20"/>
        </w:rPr>
      </w:pPr>
      <w:r>
        <w:rPr>
          <w:sz w:val="20"/>
        </w:rPr>
        <w:t>In NR Uu, Offset values are defined for a UE to determine a number of resources for multiplexing HARQ-ACK information in a PUSCH. The offset values are signaled to a UE either by a DCI format scheduling the PUSCH transmission or by higher layers.</w:t>
      </w:r>
    </w:p>
    <w:p w:rsidR="00634D19" w:rsidRDefault="007F7E79" w:rsidP="00ED0DA6">
      <w:pPr>
        <w:spacing w:beforeLines="0" w:afterLines="0"/>
        <w:rPr>
          <w:sz w:val="20"/>
        </w:rPr>
      </w:pPr>
      <w:r>
        <w:rPr>
          <w:sz w:val="20"/>
        </w:rPr>
        <w:t xml:space="preserve">If DCI format 0_0, or DCI format 0_1 that does not include a beta_offset indicator field, schedules the PUSCH transmission from the UE, the UE applies the </w:t>
      </w:r>
      <w:r w:rsidR="00634D19" w:rsidRPr="00634D19">
        <w:rPr>
          <w:position w:val="-10"/>
          <w:sz w:val="20"/>
        </w:rPr>
        <w:object w:dxaOrig="900" w:dyaOrig="340">
          <v:shape id="_x0000_i1040" type="#_x0000_t75" style="width:43.8pt;height:16.7pt" o:ole="">
            <v:imagedata r:id="rId34" o:title=""/>
          </v:shape>
          <o:OLEObject Type="Embed" ProgID="Equation.3" ShapeID="_x0000_i1040" DrawAspect="Content" ObjectID="_1651000014" r:id="rId35"/>
        </w:object>
      </w:r>
      <w:r>
        <w:rPr>
          <w:sz w:val="20"/>
        </w:rPr>
        <w:t>values that are configured by higher layers for the corresponding HARQ-ACK information</w:t>
      </w:r>
    </w:p>
    <w:p w:rsidR="00634D19" w:rsidRDefault="007F7E79" w:rsidP="00ED0DA6">
      <w:pPr>
        <w:spacing w:beforeLines="0" w:afterLines="0"/>
        <w:rPr>
          <w:sz w:val="20"/>
        </w:rPr>
      </w:pPr>
      <w:r>
        <w:rPr>
          <w:sz w:val="20"/>
        </w:rPr>
        <w:t xml:space="preserve">HARQ-ACK information offsets </w:t>
      </w:r>
      <w:r w:rsidR="00634D19" w:rsidRPr="00634D19">
        <w:rPr>
          <w:position w:val="-10"/>
          <w:sz w:val="20"/>
        </w:rPr>
        <w:object w:dxaOrig="900" w:dyaOrig="340">
          <v:shape id="_x0000_i1041" type="#_x0000_t75" style="width:43.8pt;height:16.7pt" o:ole="">
            <v:imagedata r:id="rId34" o:title=""/>
          </v:shape>
          <o:OLEObject Type="Embed" ProgID="Equation.3" ShapeID="_x0000_i1041" DrawAspect="Content" ObjectID="_1651000015" r:id="rId36"/>
        </w:object>
      </w:r>
      <w:r>
        <w:rPr>
          <w:sz w:val="20"/>
        </w:rPr>
        <w:t xml:space="preserve"> are configured to values according to Table 9.3-1. The </w:t>
      </w:r>
      <w:r>
        <w:rPr>
          <w:i/>
          <w:sz w:val="20"/>
        </w:rPr>
        <w:t>betaOffsetACK-Index1</w:t>
      </w:r>
      <w:r>
        <w:rPr>
          <w:sz w:val="20"/>
        </w:rPr>
        <w:t xml:space="preserve">, </w:t>
      </w:r>
      <w:r>
        <w:rPr>
          <w:i/>
          <w:sz w:val="20"/>
        </w:rPr>
        <w:t>betaOffsetACK-Index2</w:t>
      </w:r>
      <w:r>
        <w:rPr>
          <w:sz w:val="20"/>
        </w:rPr>
        <w:t xml:space="preserve">, and </w:t>
      </w:r>
      <w:r>
        <w:rPr>
          <w:i/>
          <w:sz w:val="20"/>
        </w:rPr>
        <w:t>betaOffsetACK-Index3</w:t>
      </w:r>
      <w:r>
        <w:rPr>
          <w:sz w:val="20"/>
        </w:rPr>
        <w:t xml:space="preserve"> respectively provide indexes </w:t>
      </w:r>
      <w:r w:rsidR="00634D19" w:rsidRPr="00634D19">
        <w:rPr>
          <w:position w:val="-12"/>
          <w:sz w:val="20"/>
        </w:rPr>
        <w:object w:dxaOrig="840" w:dyaOrig="360">
          <v:shape id="_x0000_i1042" type="#_x0000_t75" style="width:43.8pt;height:18.45pt" o:ole="">
            <v:imagedata r:id="rId37" o:title=""/>
          </v:shape>
          <o:OLEObject Type="Embed" ProgID="Equation.3" ShapeID="_x0000_i1042" DrawAspect="Content" ObjectID="_1651000016" r:id="rId38"/>
        </w:object>
      </w:r>
      <w:r>
        <w:rPr>
          <w:sz w:val="20"/>
        </w:rPr>
        <w:t xml:space="preserve">, </w:t>
      </w:r>
      <w:r w:rsidR="00634D19" w:rsidRPr="00634D19">
        <w:rPr>
          <w:position w:val="-12"/>
          <w:sz w:val="20"/>
        </w:rPr>
        <w:object w:dxaOrig="840" w:dyaOrig="360">
          <v:shape id="_x0000_i1043" type="#_x0000_t75" style="width:43.8pt;height:18.45pt" o:ole="">
            <v:imagedata r:id="rId39" o:title=""/>
          </v:shape>
          <o:OLEObject Type="Embed" ProgID="Equation.3" ShapeID="_x0000_i1043" DrawAspect="Content" ObjectID="_1651000017" r:id="rId40"/>
        </w:object>
      </w:r>
      <w:r>
        <w:rPr>
          <w:sz w:val="20"/>
        </w:rPr>
        <w:t xml:space="preserve">, and </w:t>
      </w:r>
      <w:r w:rsidR="00634D19" w:rsidRPr="00634D19">
        <w:rPr>
          <w:position w:val="-12"/>
          <w:sz w:val="20"/>
        </w:rPr>
        <w:object w:dxaOrig="840" w:dyaOrig="360">
          <v:shape id="_x0000_i1044" type="#_x0000_t75" style="width:43.8pt;height:18.45pt" o:ole="">
            <v:imagedata r:id="rId41" o:title=""/>
          </v:shape>
          <o:OLEObject Type="Embed" ProgID="Equation.3" ShapeID="_x0000_i1044" DrawAspect="Content" ObjectID="_1651000018" r:id="rId42"/>
        </w:object>
      </w:r>
      <w:r>
        <w:rPr>
          <w:sz w:val="20"/>
        </w:rPr>
        <w:t xml:space="preserve"> for the UE to use if the UE multiplexes up to 2 HARQ-ACK information bits, more than 2 and up to 11 HARQ-ACK information bits, and more than 11 bits in the PUSCH, respectively.</w:t>
      </w:r>
    </w:p>
    <w:p w:rsidR="00634D19" w:rsidRDefault="007F7E79" w:rsidP="00ED0DA6">
      <w:pPr>
        <w:spacing w:beforeLines="0" w:afterLines="0"/>
        <w:rPr>
          <w:sz w:val="20"/>
        </w:rPr>
      </w:pPr>
      <w:r>
        <w:rPr>
          <w:sz w:val="20"/>
        </w:rPr>
        <w:t>Following the agreement that “</w:t>
      </w:r>
      <w:r>
        <w:rPr>
          <w:i/>
          <w:iCs/>
          <w:kern w:val="0"/>
          <w:sz w:val="20"/>
          <w:lang w:val="en-GB" w:eastAsia="en-US"/>
        </w:rPr>
        <w:t>No support of multiplexing of SL HARQ and Uu UCI on PUCCH or PUSCH in Rel-16</w:t>
      </w:r>
      <w:r>
        <w:rPr>
          <w:sz w:val="20"/>
        </w:rPr>
        <w:t>”, the definition in NR Uu can be reused for transmission of HARQ-ACK reports on PUSCH.</w:t>
      </w:r>
    </w:p>
    <w:p w:rsidR="00634D19" w:rsidRDefault="007F7E79">
      <w:pPr>
        <w:pStyle w:val="YJ-Proposal"/>
        <w:spacing w:before="120" w:after="120"/>
      </w:pPr>
      <w:bookmarkStart w:id="224" w:name="_Toc19446"/>
      <w:bookmarkStart w:id="225" w:name="_Toc31041"/>
      <w:bookmarkStart w:id="226" w:name="_Toc12876"/>
      <w:bookmarkStart w:id="227" w:name="_Toc2285"/>
      <w:bookmarkStart w:id="228" w:name="_Toc13618"/>
      <w:bookmarkStart w:id="229" w:name="_Toc11996"/>
      <w:bookmarkStart w:id="230" w:name="_Toc2598"/>
      <w:bookmarkStart w:id="231" w:name="_Toc21854"/>
      <w:bookmarkStart w:id="232" w:name="_Toc503"/>
      <w:bookmarkStart w:id="233" w:name="_Toc12425"/>
      <w:bookmarkStart w:id="234" w:name="_Toc32598"/>
      <w:bookmarkStart w:id="235" w:name="_Toc4133"/>
      <w:bookmarkStart w:id="236" w:name="_Toc24724"/>
      <w:bookmarkStart w:id="237" w:name="_Toc12036"/>
      <w:bookmarkStart w:id="238" w:name="_Toc24150"/>
      <w:bookmarkStart w:id="239" w:name="_Toc30645"/>
      <w:bookmarkStart w:id="240" w:name="_Toc27964"/>
      <w:bookmarkStart w:id="241" w:name="_Toc31749"/>
      <w:bookmarkStart w:id="242" w:name="_Toc24436"/>
      <w:bookmarkStart w:id="243" w:name="_Toc4380"/>
      <w:bookmarkStart w:id="244" w:name="_Toc40387036"/>
      <w:r>
        <w:rPr>
          <w:rFonts w:hint="eastAsia"/>
          <w:szCs w:val="22"/>
          <w:lang w:val="en-US" w:eastAsia="zh-CN"/>
        </w:rPr>
        <w:t xml:space="preserve">Transmitting </w:t>
      </w:r>
      <w:r>
        <w:rPr>
          <w:szCs w:val="22"/>
          <w:lang w:val="en-US" w:eastAsia="zh-CN"/>
        </w:rPr>
        <w:t xml:space="preserve">sidelink HARQ-ACK </w:t>
      </w:r>
      <w:r>
        <w:rPr>
          <w:rFonts w:hint="eastAsia"/>
          <w:szCs w:val="22"/>
          <w:lang w:val="en-US" w:eastAsia="zh-CN"/>
        </w:rPr>
        <w:t xml:space="preserve">reports </w:t>
      </w:r>
      <w:r>
        <w:rPr>
          <w:szCs w:val="22"/>
          <w:lang w:val="en-US" w:eastAsia="zh-CN"/>
        </w:rPr>
        <w:t xml:space="preserve">on PUSCH </w:t>
      </w:r>
      <w:r>
        <w:rPr>
          <w:rFonts w:hint="eastAsia"/>
          <w:szCs w:val="22"/>
          <w:lang w:val="en-US" w:eastAsia="zh-CN"/>
        </w:rPr>
        <w:t>can follow the procedure of NR Uu</w:t>
      </w:r>
      <w:r>
        <w:rPr>
          <w:szCs w:val="22"/>
          <w:lang w:val="en-US" w:eastAsia="zh-CN"/>
        </w:rPr>
        <w: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634D19" w:rsidRDefault="007F7E79">
      <w:pPr>
        <w:pStyle w:val="Heading1"/>
        <w:spacing w:before="120" w:after="120"/>
        <w:ind w:left="0"/>
        <w:rPr>
          <w:rFonts w:eastAsia="宋体"/>
        </w:rPr>
      </w:pPr>
      <w:bookmarkStart w:id="245" w:name="_Toc8582"/>
      <w:bookmarkStart w:id="246" w:name="_Toc32198"/>
      <w:bookmarkStart w:id="247" w:name="_Toc30621"/>
      <w:bookmarkEnd w:id="245"/>
      <w:bookmarkEnd w:id="246"/>
      <w:bookmarkEnd w:id="247"/>
      <w:r>
        <w:rPr>
          <w:rFonts w:eastAsia="宋体" w:hint="eastAsia"/>
        </w:rPr>
        <w:t>Conclusion</w:t>
      </w:r>
    </w:p>
    <w:p w:rsidR="00634D19" w:rsidRDefault="007F7E79">
      <w:pPr>
        <w:spacing w:beforeLines="0" w:after="120" w:line="240" w:lineRule="auto"/>
        <w:rPr>
          <w:szCs w:val="22"/>
        </w:rPr>
      </w:pPr>
      <w:r>
        <w:rPr>
          <w:szCs w:val="22"/>
        </w:rPr>
        <w:t>This paper discusses some further details of dynamic and semi-static resource allocation of mode 1 scheme, concluded with the following proposals:</w:t>
      </w:r>
    </w:p>
    <w:p w:rsidR="00ED0DA6" w:rsidRDefault="00C12E29" w:rsidP="004D0696">
      <w:pPr>
        <w:pStyle w:val="TOC1"/>
        <w:tabs>
          <w:tab w:val="left" w:pos="1540"/>
          <w:tab w:val="right" w:leader="dot" w:pos="9650"/>
        </w:tabs>
        <w:spacing w:before="120" w:after="120"/>
        <w:rPr>
          <w:rFonts w:asciiTheme="minorHAnsi" w:hAnsiTheme="minorHAnsi" w:cstheme="minorBidi"/>
          <w:b w:val="0"/>
          <w:i w:val="0"/>
          <w:noProof/>
          <w:kern w:val="0"/>
          <w:sz w:val="22"/>
          <w:szCs w:val="22"/>
        </w:rPr>
      </w:pPr>
      <w:r w:rsidRPr="00C12E29">
        <w:rPr>
          <w:sz w:val="21"/>
          <w:szCs w:val="22"/>
        </w:rPr>
        <w:fldChar w:fldCharType="begin"/>
      </w:r>
      <w:r w:rsidR="007F7E79">
        <w:rPr>
          <w:sz w:val="21"/>
          <w:szCs w:val="22"/>
        </w:rPr>
        <w:instrText>TOC \n  \t "YJ-Observation,1,sub-observation,2,3rd level observation,3" \h</w:instrText>
      </w:r>
      <w:r w:rsidRPr="00C12E29">
        <w:rPr>
          <w:sz w:val="21"/>
          <w:szCs w:val="22"/>
        </w:rPr>
        <w:fldChar w:fldCharType="separate"/>
      </w:r>
      <w:hyperlink w:anchor="_Toc40386519" w:history="1">
        <w:r w:rsidR="00ED0DA6" w:rsidRPr="004D0696">
          <w:rPr>
            <w:rStyle w:val="Hyperlink"/>
            <w:rFonts w:eastAsia="宋体"/>
            <w:noProof/>
          </w:rPr>
          <w:t>Observation 1:</w:t>
        </w:r>
        <w:r w:rsidR="00ED0DA6">
          <w:rPr>
            <w:rFonts w:asciiTheme="minorHAnsi" w:hAnsiTheme="minorHAnsi" w:cstheme="minorBidi"/>
            <w:b w:val="0"/>
            <w:i w:val="0"/>
            <w:noProof/>
            <w:kern w:val="0"/>
            <w:sz w:val="22"/>
            <w:szCs w:val="22"/>
          </w:rPr>
          <w:tab/>
        </w:r>
        <w:r w:rsidR="00ED0DA6" w:rsidRPr="004D0696">
          <w:rPr>
            <w:rStyle w:val="Hyperlink"/>
            <w:noProof/>
          </w:rPr>
          <w:t>For mode1 UE, the resource of in-coverage mode1 UE is known to gNB, and proper PUCCH resource can be scheduled for UE no matter in synchronous case or in asynchronous case.</w:t>
        </w:r>
      </w:hyperlink>
    </w:p>
    <w:p w:rsidR="00ED0DA6" w:rsidRDefault="00ED0DA6" w:rsidP="004D0696">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40386520" w:history="1">
        <w:r w:rsidRPr="004D0696">
          <w:rPr>
            <w:rStyle w:val="Hyperlink"/>
            <w:rFonts w:eastAsia="宋体"/>
            <w:noProof/>
          </w:rPr>
          <w:t>Observation 2:</w:t>
        </w:r>
        <w:r>
          <w:rPr>
            <w:rFonts w:asciiTheme="minorHAnsi" w:hAnsiTheme="minorHAnsi" w:cstheme="minorBidi"/>
            <w:b w:val="0"/>
            <w:i w:val="0"/>
            <w:noProof/>
            <w:kern w:val="0"/>
            <w:sz w:val="22"/>
            <w:szCs w:val="22"/>
          </w:rPr>
          <w:tab/>
        </w:r>
        <w:r w:rsidRPr="004D0696">
          <w:rPr>
            <w:rStyle w:val="Hyperlink"/>
            <w:noProof/>
          </w:rPr>
          <w:t>gNB does not know when max number of re-transmissions is reached for a TB scheduled by CG.</w:t>
        </w:r>
      </w:hyperlink>
    </w:p>
    <w:p w:rsidR="00634D19" w:rsidRDefault="00C12E29">
      <w:pPr>
        <w:spacing w:before="120" w:after="120"/>
      </w:pPr>
      <w:r>
        <w:rPr>
          <w:szCs w:val="22"/>
        </w:rPr>
        <w:fldChar w:fldCharType="end"/>
      </w:r>
    </w:p>
    <w:p w:rsidR="002F71A6" w:rsidRDefault="00C12E29"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r w:rsidRPr="00C12E29">
        <w:fldChar w:fldCharType="begin"/>
      </w:r>
      <w:r w:rsidR="007F7E79">
        <w:instrText>TOC \n  \t "YJ-Proposal,1,sub-proposal,2,3rd level proposal,3" \h</w:instrText>
      </w:r>
      <w:r w:rsidRPr="00C12E29">
        <w:fldChar w:fldCharType="separate"/>
      </w:r>
      <w:hyperlink w:anchor="_Toc40387017" w:history="1">
        <w:r w:rsidR="002F71A6" w:rsidRPr="009947E8">
          <w:rPr>
            <w:rStyle w:val="Hyperlink"/>
            <w:rFonts w:eastAsia="宋体"/>
            <w:noProof/>
          </w:rPr>
          <w:t>Proposal 1:</w:t>
        </w:r>
        <w:r w:rsidR="002F71A6">
          <w:rPr>
            <w:rFonts w:asciiTheme="minorHAnsi" w:hAnsiTheme="minorHAnsi" w:cstheme="minorBidi"/>
            <w:b w:val="0"/>
            <w:i w:val="0"/>
            <w:noProof/>
            <w:kern w:val="0"/>
            <w:sz w:val="22"/>
            <w:szCs w:val="22"/>
          </w:rPr>
          <w:tab/>
        </w:r>
        <w:r w:rsidR="002F71A6" w:rsidRPr="009947E8">
          <w:rPr>
            <w:rStyle w:val="Hyperlink"/>
            <w:noProof/>
          </w:rPr>
          <w:t>To add CFI, pool index and configured grant activation/release to DCI format 3_0.</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18" w:history="1">
        <w:r w:rsidRPr="009947E8">
          <w:rPr>
            <w:rStyle w:val="Hyperlink"/>
            <w:rFonts w:eastAsia="宋体"/>
            <w:noProof/>
          </w:rPr>
          <w:t>Proposal 2:</w:t>
        </w:r>
        <w:r>
          <w:rPr>
            <w:rFonts w:asciiTheme="minorHAnsi" w:hAnsiTheme="minorHAnsi" w:cstheme="minorBidi"/>
            <w:b w:val="0"/>
            <w:i w:val="0"/>
            <w:noProof/>
            <w:kern w:val="0"/>
            <w:sz w:val="22"/>
            <w:szCs w:val="22"/>
          </w:rPr>
          <w:tab/>
        </w:r>
        <w:r w:rsidRPr="009947E8">
          <w:rPr>
            <w:rStyle w:val="Hyperlink"/>
            <w:noProof/>
          </w:rPr>
          <w:t>DCI 3_0 aligns with DCI 0_1 by zero padding when the DCI size budget is not satisfied. UE does not expect both of following two conditions are met at the same time:</w:t>
        </w:r>
      </w:hyperlink>
    </w:p>
    <w:p w:rsidR="002F71A6" w:rsidRDefault="002F71A6" w:rsidP="009947E8">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40387019" w:history="1">
        <w:r w:rsidRPr="009947E8">
          <w:rPr>
            <w:rStyle w:val="Hyperlink"/>
            <w:rFonts w:ascii="Symbol" w:hAnsi="Symbol"/>
            <w:noProof/>
          </w:rPr>
          <w:t></w:t>
        </w:r>
        <w:r>
          <w:rPr>
            <w:rFonts w:asciiTheme="minorHAnsi" w:hAnsiTheme="minorHAnsi" w:cstheme="minorBidi"/>
            <w:b w:val="0"/>
            <w:i w:val="0"/>
            <w:noProof/>
            <w:kern w:val="0"/>
            <w:sz w:val="22"/>
            <w:szCs w:val="22"/>
          </w:rPr>
          <w:tab/>
        </w:r>
        <w:r w:rsidRPr="009947E8">
          <w:rPr>
            <w:rStyle w:val="Hyperlink"/>
            <w:noProof/>
          </w:rPr>
          <w:t>The size of DCI 0_1 is smaller than that of DCI 3_0.</w:t>
        </w:r>
      </w:hyperlink>
    </w:p>
    <w:p w:rsidR="002F71A6" w:rsidRDefault="002F71A6" w:rsidP="009947E8">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40387020" w:history="1">
        <w:r w:rsidRPr="009947E8">
          <w:rPr>
            <w:rStyle w:val="Hyperlink"/>
            <w:rFonts w:ascii="Symbol" w:hAnsi="Symbol"/>
            <w:noProof/>
          </w:rPr>
          <w:t></w:t>
        </w:r>
        <w:r>
          <w:rPr>
            <w:rFonts w:asciiTheme="minorHAnsi" w:hAnsiTheme="minorHAnsi" w:cstheme="minorBidi"/>
            <w:b w:val="0"/>
            <w:i w:val="0"/>
            <w:noProof/>
            <w:kern w:val="0"/>
            <w:sz w:val="22"/>
            <w:szCs w:val="22"/>
          </w:rPr>
          <w:tab/>
        </w:r>
        <w:r w:rsidRPr="009947E8">
          <w:rPr>
            <w:rStyle w:val="Hyperlink"/>
            <w:noProof/>
          </w:rPr>
          <w:t>The number of different DCI sizes exceeds the DCI size budget.</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21" w:history="1">
        <w:r w:rsidRPr="009947E8">
          <w:rPr>
            <w:rStyle w:val="Hyperlink"/>
            <w:rFonts w:eastAsia="宋体"/>
            <w:noProof/>
            <w:lang w:eastAsia="ja-JP"/>
          </w:rPr>
          <w:t>Proposal 3:</w:t>
        </w:r>
        <w:r>
          <w:rPr>
            <w:rFonts w:asciiTheme="minorHAnsi" w:hAnsiTheme="minorHAnsi" w:cstheme="minorBidi"/>
            <w:b w:val="0"/>
            <w:i w:val="0"/>
            <w:noProof/>
            <w:kern w:val="0"/>
            <w:sz w:val="22"/>
            <w:szCs w:val="22"/>
          </w:rPr>
          <w:tab/>
        </w:r>
        <w:r w:rsidRPr="009947E8">
          <w:rPr>
            <w:rStyle w:val="Hyperlink"/>
            <w:noProof/>
            <w:lang w:eastAsia="ja-JP"/>
          </w:rPr>
          <w:t>For a dynamic grant in Mode 1, when using SL HARQ feedback:</w:t>
        </w:r>
      </w:hyperlink>
    </w:p>
    <w:p w:rsidR="002F71A6" w:rsidRDefault="002F71A6" w:rsidP="002F71A6">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40387022" w:history="1">
        <w:r w:rsidRPr="009947E8">
          <w:rPr>
            <w:rStyle w:val="Hyperlink"/>
            <w:rFonts w:ascii="Arial" w:hAnsi="Arial" w:cs="Arial"/>
            <w:noProof/>
            <w:lang w:eastAsia="ja-JP"/>
          </w:rPr>
          <w:t>•</w:t>
        </w:r>
        <w:r>
          <w:rPr>
            <w:rFonts w:asciiTheme="minorHAnsi" w:eastAsiaTheme="minorEastAsia" w:hAnsiTheme="minorHAnsi" w:cstheme="minorBidi"/>
            <w:b w:val="0"/>
            <w:i w:val="0"/>
            <w:noProof/>
            <w:kern w:val="0"/>
            <w:sz w:val="22"/>
            <w:szCs w:val="22"/>
          </w:rPr>
          <w:tab/>
        </w:r>
        <w:r w:rsidRPr="009947E8">
          <w:rPr>
            <w:rStyle w:val="Hyperlink"/>
            <w:noProof/>
            <w:lang w:eastAsia="ja-JP"/>
          </w:rPr>
          <w:t xml:space="preserve">There is only one HARQ-ACK bit for the </w:t>
        </w:r>
        <w:r w:rsidRPr="009947E8">
          <w:rPr>
            <w:rStyle w:val="Hyperlink"/>
            <w:noProof/>
          </w:rPr>
          <w:t xml:space="preserve">dynamic </w:t>
        </w:r>
        <w:r w:rsidRPr="009947E8">
          <w:rPr>
            <w:rStyle w:val="Hyperlink"/>
            <w:noProof/>
            <w:lang w:eastAsia="ja-JP"/>
          </w:rPr>
          <w:t>grant</w:t>
        </w:r>
      </w:hyperlink>
    </w:p>
    <w:p w:rsidR="002F71A6" w:rsidRDefault="002F71A6" w:rsidP="002F71A6">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40387023" w:history="1">
        <w:r w:rsidRPr="009947E8">
          <w:rPr>
            <w:rStyle w:val="Hyperlink"/>
            <w:rFonts w:ascii="Arial" w:hAnsi="Arial" w:cs="Arial"/>
            <w:noProof/>
            <w:lang w:eastAsia="ja-JP"/>
          </w:rPr>
          <w:t>•</w:t>
        </w:r>
        <w:r>
          <w:rPr>
            <w:rFonts w:asciiTheme="minorHAnsi" w:eastAsiaTheme="minorEastAsia" w:hAnsiTheme="minorHAnsi" w:cstheme="minorBidi"/>
            <w:b w:val="0"/>
            <w:i w:val="0"/>
            <w:noProof/>
            <w:kern w:val="0"/>
            <w:sz w:val="22"/>
            <w:szCs w:val="22"/>
          </w:rPr>
          <w:tab/>
        </w:r>
        <w:r w:rsidRPr="009947E8">
          <w:rPr>
            <w:rStyle w:val="Hyperlink"/>
            <w:noProof/>
            <w:lang w:eastAsia="ja-JP"/>
          </w:rPr>
          <w:t>There is one PUCCH transmission occasion after the last resource provided by the grant.</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24" w:history="1">
        <w:r w:rsidRPr="009947E8">
          <w:rPr>
            <w:rStyle w:val="Hyperlink"/>
            <w:rFonts w:eastAsia="宋体"/>
            <w:noProof/>
          </w:rPr>
          <w:t>Proposal 4:</w:t>
        </w:r>
        <w:r>
          <w:rPr>
            <w:rFonts w:asciiTheme="minorHAnsi" w:hAnsiTheme="minorHAnsi" w:cstheme="minorBidi"/>
            <w:b w:val="0"/>
            <w:i w:val="0"/>
            <w:noProof/>
            <w:kern w:val="0"/>
            <w:sz w:val="22"/>
            <w:szCs w:val="22"/>
          </w:rPr>
          <w:tab/>
        </w:r>
        <w:r w:rsidRPr="009947E8">
          <w:rPr>
            <w:rStyle w:val="Hyperlink"/>
            <w:noProof/>
          </w:rPr>
          <w:t>For in-coverage mode-1 UE (regardless of sync source as gNB or GNSS), SFN is used to derive SL frame indexing when determining resource from CG type 1 grant.</w:t>
        </w:r>
      </w:hyperlink>
    </w:p>
    <w:p w:rsidR="002F71A6" w:rsidRDefault="002F71A6" w:rsidP="009947E8">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40387025" w:history="1">
        <w:r w:rsidRPr="009947E8">
          <w:rPr>
            <w:rStyle w:val="Hyperlink"/>
            <w:rFonts w:ascii="Symbol" w:hAnsi="Symbol"/>
            <w:noProof/>
          </w:rPr>
          <w:t></w:t>
        </w:r>
        <w:r>
          <w:rPr>
            <w:rFonts w:asciiTheme="minorHAnsi" w:hAnsiTheme="minorHAnsi" w:cstheme="minorBidi"/>
            <w:b w:val="0"/>
            <w:i w:val="0"/>
            <w:noProof/>
            <w:kern w:val="0"/>
            <w:sz w:val="22"/>
            <w:szCs w:val="22"/>
          </w:rPr>
          <w:tab/>
        </w:r>
        <w:r w:rsidRPr="009947E8">
          <w:rPr>
            <w:rStyle w:val="Hyperlink"/>
            <w:noProof/>
          </w:rPr>
          <w:t>The DFN/SlotNumber formula agreed in Synchronization agenda do not apply to in-coverage UE operating mode-1.</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26" w:history="1">
        <w:r w:rsidRPr="009947E8">
          <w:rPr>
            <w:rStyle w:val="Hyperlink"/>
            <w:rFonts w:eastAsia="宋体"/>
            <w:noProof/>
          </w:rPr>
          <w:t>Proposal 5:</w:t>
        </w:r>
        <w:r>
          <w:rPr>
            <w:rFonts w:asciiTheme="minorHAnsi" w:hAnsiTheme="minorHAnsi" w:cstheme="minorBidi"/>
            <w:b w:val="0"/>
            <w:i w:val="0"/>
            <w:noProof/>
            <w:kern w:val="0"/>
            <w:sz w:val="22"/>
            <w:szCs w:val="22"/>
          </w:rPr>
          <w:tab/>
        </w:r>
        <w:r w:rsidRPr="009947E8">
          <w:rPr>
            <w:rStyle w:val="Hyperlink"/>
            <w:noProof/>
          </w:rPr>
          <w:t>Physical slot is used to interpret timeDomainOffset and periodicity.</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27" w:history="1">
        <w:r w:rsidRPr="009947E8">
          <w:rPr>
            <w:rStyle w:val="Hyperlink"/>
            <w:rFonts w:eastAsia="宋体"/>
            <w:noProof/>
          </w:rPr>
          <w:t>Proposal 6:</w:t>
        </w:r>
        <w:r>
          <w:rPr>
            <w:rFonts w:asciiTheme="minorHAnsi" w:hAnsiTheme="minorHAnsi" w:cstheme="minorBidi"/>
            <w:b w:val="0"/>
            <w:i w:val="0"/>
            <w:noProof/>
            <w:kern w:val="0"/>
            <w:sz w:val="22"/>
            <w:szCs w:val="22"/>
          </w:rPr>
          <w:tab/>
        </w:r>
        <w:r w:rsidRPr="009947E8">
          <w:rPr>
            <w:rStyle w:val="Hyperlink"/>
            <w:noProof/>
          </w:rPr>
          <w:t xml:space="preserve">No need to correct the </w:t>
        </w:r>
        <w:r w:rsidRPr="009947E8">
          <w:rPr>
            <w:rStyle w:val="Hyperlink"/>
            <w:noProof/>
            <w:lang w:eastAsia="ko-KR"/>
          </w:rPr>
          <w:t xml:space="preserve">agreement (the one determining UL slot) </w:t>
        </w:r>
        <w:r w:rsidRPr="009947E8">
          <w:rPr>
            <w:rStyle w:val="Hyperlink"/>
            <w:noProof/>
          </w:rPr>
          <w:t>to cover the asynchronous case.</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28" w:history="1">
        <w:r w:rsidRPr="009947E8">
          <w:rPr>
            <w:rStyle w:val="Hyperlink"/>
            <w:rFonts w:eastAsia="宋体"/>
            <w:noProof/>
          </w:rPr>
          <w:t>Proposal 7:</w:t>
        </w:r>
        <w:r>
          <w:rPr>
            <w:rFonts w:asciiTheme="minorHAnsi" w:hAnsiTheme="minorHAnsi" w:cstheme="minorBidi"/>
            <w:b w:val="0"/>
            <w:i w:val="0"/>
            <w:noProof/>
            <w:kern w:val="0"/>
            <w:sz w:val="22"/>
            <w:szCs w:val="22"/>
          </w:rPr>
          <w:tab/>
        </w:r>
        <w:r w:rsidRPr="009947E8">
          <w:rPr>
            <w:rStyle w:val="Hyperlink"/>
            <w:noProof/>
          </w:rPr>
          <w:t>UE is not expected that r</w:t>
        </w:r>
        <w:r w:rsidRPr="009947E8">
          <w:rPr>
            <w:rStyle w:val="Hyperlink"/>
            <w:noProof/>
            <w:lang w:eastAsia="ko-KR"/>
          </w:rPr>
          <w:t>etransmission</w:t>
        </w:r>
        <w:r w:rsidRPr="009947E8">
          <w:rPr>
            <w:rStyle w:val="Hyperlink"/>
            <w:noProof/>
          </w:rPr>
          <w:t xml:space="preserve"> of a TB </w:t>
        </w:r>
        <w:r w:rsidRPr="009947E8">
          <w:rPr>
            <w:rStyle w:val="Hyperlink"/>
            <w:noProof/>
            <w:lang w:eastAsia="ko-KR"/>
          </w:rPr>
          <w:t xml:space="preserve">spans </w:t>
        </w:r>
        <w:r w:rsidRPr="009947E8">
          <w:rPr>
            <w:rStyle w:val="Hyperlink"/>
            <w:noProof/>
          </w:rPr>
          <w:t xml:space="preserve">N </w:t>
        </w:r>
        <w:r w:rsidRPr="009947E8">
          <w:rPr>
            <w:rStyle w:val="Hyperlink"/>
            <w:noProof/>
            <w:lang w:eastAsia="ko-KR"/>
          </w:rPr>
          <w:t>periods</w:t>
        </w:r>
        <w:r w:rsidRPr="009947E8">
          <w:rPr>
            <w:rStyle w:val="Hyperlink"/>
            <w:noProof/>
          </w:rPr>
          <w:t xml:space="preserve"> where N is the number of HARQ processes configured in configured grant RRC signaling.</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29" w:history="1">
        <w:r w:rsidRPr="009947E8">
          <w:rPr>
            <w:rStyle w:val="Hyperlink"/>
            <w:rFonts w:eastAsia="宋体"/>
            <w:noProof/>
          </w:rPr>
          <w:t>Proposal 8:</w:t>
        </w:r>
        <w:r>
          <w:rPr>
            <w:rFonts w:asciiTheme="minorHAnsi" w:hAnsiTheme="minorHAnsi" w:cstheme="minorBidi"/>
            <w:b w:val="0"/>
            <w:i w:val="0"/>
            <w:noProof/>
            <w:kern w:val="0"/>
            <w:sz w:val="22"/>
            <w:szCs w:val="22"/>
          </w:rPr>
          <w:tab/>
        </w:r>
        <w:r w:rsidRPr="009947E8">
          <w:rPr>
            <w:rStyle w:val="Hyperlink"/>
            <w:noProof/>
          </w:rPr>
          <w:t>In case of reaching the maximum number of HARQ re-transmissions for a TB scheduled by CG, the UE sends one bit ACK as SL HARQ-ACK reporting to gNB.</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30" w:history="1">
        <w:r w:rsidRPr="009947E8">
          <w:rPr>
            <w:rStyle w:val="Hyperlink"/>
            <w:rFonts w:eastAsia="宋体"/>
            <w:noProof/>
          </w:rPr>
          <w:t>Proposal 9:</w:t>
        </w:r>
        <w:r>
          <w:rPr>
            <w:rFonts w:asciiTheme="minorHAnsi" w:hAnsiTheme="minorHAnsi" w:cstheme="minorBidi"/>
            <w:b w:val="0"/>
            <w:i w:val="0"/>
            <w:noProof/>
            <w:kern w:val="0"/>
            <w:sz w:val="22"/>
            <w:szCs w:val="22"/>
          </w:rPr>
          <w:tab/>
        </w:r>
        <w:r w:rsidRPr="009947E8">
          <w:rPr>
            <w:rStyle w:val="Hyperlink"/>
            <w:noProof/>
          </w:rPr>
          <w:t>For PSCCH/PSSCH preparation time</w:t>
        </w:r>
        <w:r w:rsidRPr="009947E8">
          <w:rPr>
            <w:rStyle w:val="Hyperlink"/>
            <w:rFonts w:eastAsia="宋体"/>
            <w:noProof/>
          </w:rPr>
          <w:t>:</w:t>
        </w:r>
      </w:hyperlink>
    </w:p>
    <w:p w:rsidR="002F71A6" w:rsidRDefault="002F71A6" w:rsidP="002F71A6">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40387031" w:history="1">
        <w:r w:rsidRPr="009947E8">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9947E8">
          <w:rPr>
            <w:rStyle w:val="Hyperlink"/>
            <w:rFonts w:eastAsia="Times New Roman"/>
            <w:noProof/>
          </w:rPr>
          <w:t>T</w:t>
        </w:r>
        <w:r w:rsidRPr="009947E8">
          <w:rPr>
            <w:rStyle w:val="Hyperlink"/>
            <w:noProof/>
            <w:vertAlign w:val="subscript"/>
          </w:rPr>
          <w:t>pro,sl</w:t>
        </w:r>
        <w:r w:rsidRPr="009947E8">
          <w:rPr>
            <w:rStyle w:val="Hyperlink"/>
            <w:rFonts w:eastAsia="Times New Roman"/>
            <w:noProof/>
          </w:rPr>
          <w:t xml:space="preserve"> = N</w:t>
        </w:r>
        <w:r w:rsidRPr="009947E8">
          <w:rPr>
            <w:rStyle w:val="Hyperlink"/>
            <w:noProof/>
          </w:rPr>
          <w:t>1</w:t>
        </w:r>
        <w:r w:rsidRPr="009947E8">
          <w:rPr>
            <w:rStyle w:val="Hyperlink"/>
            <w:rFonts w:eastAsia="Times New Roman"/>
            <w:noProof/>
          </w:rPr>
          <w:t>∙ (2048+144) ∙ k ∙ 2</w:t>
        </w:r>
        <w:r w:rsidRPr="009947E8">
          <w:rPr>
            <w:rStyle w:val="Hyperlink"/>
            <w:rFonts w:eastAsia="Times New Roman"/>
            <w:noProof/>
            <w:vertAlign w:val="superscript"/>
          </w:rPr>
          <w:t xml:space="preserve"> –μ</w:t>
        </w:r>
        <w:r w:rsidRPr="009947E8">
          <w:rPr>
            <w:rStyle w:val="Hyperlink"/>
            <w:rFonts w:eastAsia="Times New Roman"/>
            <w:noProof/>
          </w:rPr>
          <w:t xml:space="preserve"> ∙ Tc</w:t>
        </w:r>
      </w:hyperlink>
    </w:p>
    <w:p w:rsidR="002F71A6" w:rsidRDefault="002F71A6" w:rsidP="002F71A6">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40387032" w:history="1">
        <w:r w:rsidRPr="009947E8">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9947E8">
          <w:rPr>
            <w:rStyle w:val="Hyperlink"/>
            <w:noProof/>
          </w:rPr>
          <w:t>N1 is 10,10,23 and 36 corresponding to</w:t>
        </w:r>
        <w:r w:rsidRPr="009947E8">
          <w:rPr>
            <w:rStyle w:val="Hyperlink"/>
            <w:rFonts w:eastAsia="Times New Roman"/>
            <w:noProof/>
          </w:rPr>
          <w:t xml:space="preserve"> μ of 0, 1, 2 and 3, where</w:t>
        </w:r>
        <w:r w:rsidRPr="009947E8">
          <w:rPr>
            <w:rStyle w:val="Hyperlink"/>
            <w:noProof/>
          </w:rPr>
          <w:t xml:space="preserve"> μ</w:t>
        </w:r>
        <w:r w:rsidRPr="009947E8">
          <w:rPr>
            <w:rStyle w:val="Hyperlink"/>
            <w:rFonts w:eastAsia="Times New Roman"/>
            <w:noProof/>
          </w:rPr>
          <w:t xml:space="preserve"> = min(μ_SL, μ_</w:t>
        </w:r>
        <w:r w:rsidRPr="009947E8">
          <w:rPr>
            <w:rStyle w:val="Hyperlink"/>
            <w:noProof/>
          </w:rPr>
          <w:t>D</w:t>
        </w:r>
        <w:r w:rsidRPr="009947E8">
          <w:rPr>
            <w:rStyle w:val="Hyperlink"/>
            <w:rFonts w:eastAsia="Times New Roman"/>
            <w:noProof/>
          </w:rPr>
          <w:t>L)</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33" w:history="1">
        <w:r w:rsidRPr="009947E8">
          <w:rPr>
            <w:rStyle w:val="Hyperlink"/>
            <w:rFonts w:eastAsia="宋体"/>
            <w:noProof/>
          </w:rPr>
          <w:t>Proposal 10:</w:t>
        </w:r>
        <w:r>
          <w:rPr>
            <w:rFonts w:asciiTheme="minorHAnsi" w:hAnsiTheme="minorHAnsi" w:cstheme="minorBidi"/>
            <w:b w:val="0"/>
            <w:i w:val="0"/>
            <w:noProof/>
            <w:kern w:val="0"/>
            <w:sz w:val="22"/>
            <w:szCs w:val="22"/>
          </w:rPr>
          <w:tab/>
        </w:r>
        <w:r w:rsidRPr="009947E8">
          <w:rPr>
            <w:rStyle w:val="Hyperlink"/>
            <w:noProof/>
          </w:rPr>
          <w:t>For PSFCH processing time,</w:t>
        </w:r>
      </w:hyperlink>
    </w:p>
    <w:p w:rsidR="002F71A6" w:rsidRDefault="002F71A6" w:rsidP="002F71A6">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40387034" w:history="1">
        <w:r w:rsidRPr="009947E8">
          <w:rPr>
            <w:rStyle w:val="Hyperlink"/>
            <w:rFonts w:ascii="Arial" w:eastAsia="Times New Roman" w:hAnsi="Arial" w:cs="Arial"/>
            <w:noProof/>
          </w:rPr>
          <w:t>•</w:t>
        </w:r>
        <w:r>
          <w:rPr>
            <w:rFonts w:asciiTheme="minorHAnsi" w:eastAsiaTheme="minorEastAsia" w:hAnsiTheme="minorHAnsi" w:cstheme="minorBidi"/>
            <w:b w:val="0"/>
            <w:i w:val="0"/>
            <w:noProof/>
            <w:kern w:val="0"/>
            <w:sz w:val="22"/>
            <w:szCs w:val="22"/>
          </w:rPr>
          <w:tab/>
        </w:r>
        <w:r w:rsidRPr="009947E8">
          <w:rPr>
            <w:rStyle w:val="Hyperlink"/>
            <w:rFonts w:eastAsia="Times New Roman"/>
            <w:noProof/>
          </w:rPr>
          <w:t>N is 1</w:t>
        </w:r>
        <w:r w:rsidRPr="009947E8">
          <w:rPr>
            <w:rStyle w:val="Hyperlink"/>
            <w:noProof/>
          </w:rPr>
          <w:t>3</w:t>
        </w:r>
        <w:r w:rsidRPr="009947E8">
          <w:rPr>
            <w:rStyle w:val="Hyperlink"/>
            <w:rFonts w:eastAsia="Times New Roman"/>
            <w:noProof/>
          </w:rPr>
          <w:t>, 1</w:t>
        </w:r>
        <w:r w:rsidRPr="009947E8">
          <w:rPr>
            <w:rStyle w:val="Hyperlink"/>
            <w:noProof/>
          </w:rPr>
          <w:t>3</w:t>
        </w:r>
        <w:r w:rsidRPr="009947E8">
          <w:rPr>
            <w:rStyle w:val="Hyperlink"/>
            <w:rFonts w:eastAsia="Times New Roman"/>
            <w:noProof/>
          </w:rPr>
          <w:t>, 2</w:t>
        </w:r>
        <w:r w:rsidRPr="009947E8">
          <w:rPr>
            <w:rStyle w:val="Hyperlink"/>
            <w:noProof/>
          </w:rPr>
          <w:t>0</w:t>
        </w:r>
        <w:r w:rsidRPr="009947E8">
          <w:rPr>
            <w:rStyle w:val="Hyperlink"/>
            <w:rFonts w:eastAsia="Times New Roman"/>
            <w:noProof/>
          </w:rPr>
          <w:t xml:space="preserve"> and </w:t>
        </w:r>
        <w:r w:rsidRPr="009947E8">
          <w:rPr>
            <w:rStyle w:val="Hyperlink"/>
            <w:noProof/>
          </w:rPr>
          <w:t>24</w:t>
        </w:r>
        <w:r w:rsidRPr="009947E8">
          <w:rPr>
            <w:rStyle w:val="Hyperlink"/>
            <w:rFonts w:eastAsia="Times New Roman"/>
            <w:noProof/>
          </w:rPr>
          <w:t xml:space="preserve"> corresponds to μ of 0, 1, 2 and 3, where</w:t>
        </w:r>
        <w:r w:rsidRPr="009947E8">
          <w:rPr>
            <w:rStyle w:val="Hyperlink"/>
            <w:noProof/>
          </w:rPr>
          <w:t xml:space="preserve"> μ</w:t>
        </w:r>
        <w:r w:rsidRPr="009947E8">
          <w:rPr>
            <w:rStyle w:val="Hyperlink"/>
            <w:rFonts w:eastAsia="Times New Roman"/>
            <w:noProof/>
          </w:rPr>
          <w:t xml:space="preserve"> = min(μ_SL, μ_</w:t>
        </w:r>
        <w:r w:rsidRPr="009947E8">
          <w:rPr>
            <w:rStyle w:val="Hyperlink"/>
            <w:noProof/>
          </w:rPr>
          <w:t>U</w:t>
        </w:r>
        <w:r w:rsidRPr="009947E8">
          <w:rPr>
            <w:rStyle w:val="Hyperlink"/>
            <w:rFonts w:eastAsia="Times New Roman"/>
            <w:noProof/>
          </w:rPr>
          <w:t>L).</w:t>
        </w:r>
      </w:hyperlink>
    </w:p>
    <w:p w:rsidR="002F71A6" w:rsidRDefault="002F71A6" w:rsidP="002F71A6">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40387035" w:history="1">
        <w:r w:rsidRPr="009947E8">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9947E8">
          <w:rPr>
            <w:rStyle w:val="Hyperlink"/>
            <w:noProof/>
          </w:rPr>
          <w:t>X has one fixed value.</w:t>
        </w:r>
      </w:hyperlink>
    </w:p>
    <w:p w:rsidR="002F71A6" w:rsidRDefault="002F71A6" w:rsidP="009947E8">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40387036" w:history="1">
        <w:r w:rsidRPr="009947E8">
          <w:rPr>
            <w:rStyle w:val="Hyperlink"/>
            <w:rFonts w:eastAsia="宋体"/>
            <w:noProof/>
          </w:rPr>
          <w:t>Proposal 11:</w:t>
        </w:r>
        <w:r>
          <w:rPr>
            <w:rFonts w:asciiTheme="minorHAnsi" w:hAnsiTheme="minorHAnsi" w:cstheme="minorBidi"/>
            <w:b w:val="0"/>
            <w:i w:val="0"/>
            <w:noProof/>
            <w:kern w:val="0"/>
            <w:sz w:val="22"/>
            <w:szCs w:val="22"/>
          </w:rPr>
          <w:tab/>
        </w:r>
        <w:r w:rsidRPr="009947E8">
          <w:rPr>
            <w:rStyle w:val="Hyperlink"/>
            <w:noProof/>
          </w:rPr>
          <w:t>Transmitting sidelink HARQ-ACK reports on PUSCH can follow the procedure of NR Uu.</w:t>
        </w:r>
      </w:hyperlink>
    </w:p>
    <w:p w:rsidR="00634D19" w:rsidRDefault="00C12E29">
      <w:pPr>
        <w:pStyle w:val="Heading1"/>
        <w:spacing w:before="120" w:after="120"/>
        <w:ind w:left="0"/>
        <w:rPr>
          <w:rFonts w:ascii="Times New Roman" w:eastAsia="宋体" w:hAnsi="Times New Roman"/>
        </w:rPr>
      </w:pPr>
      <w:r>
        <w:fldChar w:fldCharType="end"/>
      </w:r>
      <w:r w:rsidR="007F7E79">
        <w:rPr>
          <w:rFonts w:ascii="Times New Roman" w:eastAsia="宋体" w:hAnsi="Times New Roman"/>
        </w:rPr>
        <w:t>References</w:t>
      </w:r>
    </w:p>
    <w:p w:rsidR="00634D19" w:rsidRDefault="007F7E79">
      <w:pPr>
        <w:pStyle w:val="References"/>
        <w:spacing w:before="120" w:after="120"/>
      </w:pPr>
      <w:r>
        <w:rPr>
          <w:sz w:val="20"/>
          <w:szCs w:val="22"/>
        </w:rPr>
        <w:t>TR 38.213 g00</w:t>
      </w:r>
    </w:p>
    <w:p w:rsidR="00634D19" w:rsidRDefault="007F7E79">
      <w:pPr>
        <w:pStyle w:val="References"/>
        <w:spacing w:before="120" w:after="120"/>
      </w:pPr>
      <w:r>
        <w:rPr>
          <w:sz w:val="20"/>
          <w:szCs w:val="22"/>
        </w:rPr>
        <w:t>TR 38.21</w:t>
      </w:r>
      <w:r>
        <w:rPr>
          <w:rFonts w:hint="eastAsia"/>
          <w:sz w:val="20"/>
          <w:szCs w:val="22"/>
        </w:rPr>
        <w:t>4</w:t>
      </w:r>
      <w:r>
        <w:rPr>
          <w:sz w:val="20"/>
          <w:szCs w:val="22"/>
        </w:rPr>
        <w:t xml:space="preserve"> g00</w:t>
      </w:r>
    </w:p>
    <w:p w:rsidR="00634D19" w:rsidRDefault="007F7E79">
      <w:pPr>
        <w:pStyle w:val="References"/>
        <w:spacing w:before="120" w:after="120"/>
        <w:rPr>
          <w:sz w:val="20"/>
          <w:szCs w:val="22"/>
          <w:lang w:eastAsia="ko-KR"/>
        </w:rPr>
      </w:pPr>
      <w:r>
        <w:rPr>
          <w:sz w:val="20"/>
          <w:szCs w:val="22"/>
          <w:lang w:eastAsia="ko-KR"/>
        </w:rPr>
        <w:t>R1-2001367 - Feature lead summary 4 on Resource allocation for NR sidelink Mode 1</w:t>
      </w:r>
      <w:r w:rsidR="001B1F34">
        <w:rPr>
          <w:sz w:val="20"/>
          <w:szCs w:val="22"/>
          <w:lang w:eastAsia="ko-KR"/>
        </w:rPr>
        <w:t>,</w:t>
      </w:r>
      <w:r>
        <w:rPr>
          <w:sz w:val="20"/>
          <w:szCs w:val="22"/>
          <w:lang w:eastAsia="ko-KR"/>
        </w:rPr>
        <w:t xml:space="preserve"> Ericsson</w:t>
      </w:r>
    </w:p>
    <w:p w:rsidR="00634D19" w:rsidRDefault="007F7E79">
      <w:pPr>
        <w:pStyle w:val="References"/>
        <w:spacing w:before="120" w:after="120"/>
        <w:ind w:left="363" w:hanging="363"/>
        <w:rPr>
          <w:sz w:val="20"/>
          <w:szCs w:val="22"/>
          <w:lang w:eastAsia="ko-KR"/>
        </w:rPr>
      </w:pPr>
      <w:r>
        <w:rPr>
          <w:rFonts w:hint="eastAsia"/>
        </w:rPr>
        <w:t>Chairman's Notes RAN1#100b</w:t>
      </w:r>
      <w:r w:rsidR="001B1F34">
        <w:t>is</w:t>
      </w:r>
      <w:r>
        <w:rPr>
          <w:rFonts w:hint="eastAsia"/>
        </w:rPr>
        <w:t>-e</w:t>
      </w:r>
    </w:p>
    <w:sectPr w:rsidR="00634D19" w:rsidSect="00634D19">
      <w:headerReference w:type="even" r:id="rId43"/>
      <w:headerReference w:type="default" r:id="rId44"/>
      <w:footerReference w:type="even" r:id="rId45"/>
      <w:footerReference w:type="default" r:id="rId46"/>
      <w:headerReference w:type="first" r:id="rId47"/>
      <w:footerReference w:type="first" r:id="rId4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386" w:rsidRDefault="00381386" w:rsidP="005811A3">
      <w:pPr>
        <w:spacing w:before="120" w:after="120" w:line="240" w:lineRule="auto"/>
      </w:pPr>
      <w:r>
        <w:separator/>
      </w:r>
    </w:p>
  </w:endnote>
  <w:endnote w:type="continuationSeparator" w:id="0">
    <w:p w:rsidR="00381386" w:rsidRDefault="00381386" w:rsidP="005811A3">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宋体">
    <w:altName w:val="Arial Unicode MS"/>
    <w:charset w:val="50"/>
    <w:family w:val="auto"/>
    <w:pitch w:val="default"/>
    <w:sig w:usb0="00000000" w:usb1="288F0000" w:usb2="0000000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Arial Unicode MS"/>
    <w:charset w:val="86"/>
    <w:family w:val="swiss"/>
    <w:pitch w:val="default"/>
    <w:sig w:usb0="00000000" w:usb1="0000000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default"/>
    <w:sig w:usb0="00000000" w:usb1="00000000"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86" w:rsidRDefault="00381386" w:rsidP="005811A3">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77181"/>
      <w:docPartObj>
        <w:docPartGallery w:val="Page Numbers (Bottom of Page)"/>
        <w:docPartUnique/>
      </w:docPartObj>
    </w:sdtPr>
    <w:sdtContent>
      <w:p w:rsidR="00381386" w:rsidRDefault="00381386" w:rsidP="005811A3">
        <w:pPr>
          <w:pStyle w:val="Footer"/>
          <w:spacing w:before="120" w:after="120"/>
          <w:jc w:val="center"/>
        </w:pPr>
        <w:fldSimple w:instr=" PAGE   \* MERGEFORMAT ">
          <w:r w:rsidR="002F71A6">
            <w:rPr>
              <w:noProof/>
            </w:rPr>
            <w:t>8</w:t>
          </w:r>
        </w:fldSimple>
      </w:p>
    </w:sdtContent>
  </w:sdt>
  <w:p w:rsidR="00381386" w:rsidRDefault="00381386">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86" w:rsidRDefault="00381386" w:rsidP="005811A3">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386" w:rsidRDefault="00381386" w:rsidP="005811A3">
      <w:pPr>
        <w:spacing w:before="120" w:after="120" w:line="240" w:lineRule="auto"/>
      </w:pPr>
      <w:r>
        <w:separator/>
      </w:r>
    </w:p>
  </w:footnote>
  <w:footnote w:type="continuationSeparator" w:id="0">
    <w:p w:rsidR="00381386" w:rsidRDefault="00381386" w:rsidP="005811A3">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86" w:rsidRDefault="00381386" w:rsidP="005811A3">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86" w:rsidRDefault="00381386" w:rsidP="005811A3">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86" w:rsidRDefault="00381386" w:rsidP="005811A3">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0D691858"/>
    <w:multiLevelType w:val="multilevel"/>
    <w:tmpl w:val="0D6918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DB87161"/>
    <w:multiLevelType w:val="multilevel"/>
    <w:tmpl w:val="0DB87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C63F82"/>
    <w:multiLevelType w:val="multilevel"/>
    <w:tmpl w:val="1D78E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6102499"/>
    <w:multiLevelType w:val="multilevel"/>
    <w:tmpl w:val="1610249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18047291"/>
    <w:multiLevelType w:val="singleLevel"/>
    <w:tmpl w:val="18047291"/>
    <w:lvl w:ilvl="0">
      <w:start w:val="1"/>
      <w:numFmt w:val="bullet"/>
      <w:lvlText w:val=""/>
      <w:lvlJc w:val="left"/>
      <w:pPr>
        <w:ind w:left="420" w:hanging="420"/>
      </w:pPr>
      <w:rPr>
        <w:rFonts w:ascii="Wingdings" w:hAnsi="Wingdings" w:hint="default"/>
      </w:rPr>
    </w:lvl>
  </w:abstractNum>
  <w:abstractNum w:abstractNumId="7">
    <w:nsid w:val="2DA72893"/>
    <w:multiLevelType w:val="multilevel"/>
    <w:tmpl w:val="2DA72893"/>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8">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466C61EF"/>
    <w:multiLevelType w:val="multilevel"/>
    <w:tmpl w:val="466C61EF"/>
    <w:lvl w:ilvl="0">
      <w:numFmt w:val="bullet"/>
      <w:lvlText w:val="-"/>
      <w:lvlJc w:val="left"/>
      <w:pPr>
        <w:ind w:left="780" w:hanging="360"/>
      </w:pPr>
      <w:rPr>
        <w:rFonts w:ascii="Times New Roman" w:eastAsia="宋体"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nsid w:val="48D609A5"/>
    <w:multiLevelType w:val="multilevel"/>
    <w:tmpl w:val="48D6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19A285B"/>
    <w:multiLevelType w:val="multilevel"/>
    <w:tmpl w:val="619A2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55C5309"/>
    <w:multiLevelType w:val="hybridMultilevel"/>
    <w:tmpl w:val="7312E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853A49"/>
    <w:multiLevelType w:val="multilevel"/>
    <w:tmpl w:val="1D78E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BDE40EF"/>
    <w:multiLevelType w:val="multilevel"/>
    <w:tmpl w:val="7BDE40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
  </w:num>
  <w:num w:numId="2">
    <w:abstractNumId w:val="9"/>
  </w:num>
  <w:num w:numId="3">
    <w:abstractNumId w:val="8"/>
  </w:num>
  <w:num w:numId="4">
    <w:abstractNumId w:val="0"/>
  </w:num>
  <w:num w:numId="5">
    <w:abstractNumId w:val="10"/>
  </w:num>
  <w:num w:numId="6">
    <w:abstractNumId w:val="6"/>
  </w:num>
  <w:num w:numId="7">
    <w:abstractNumId w:val="11"/>
  </w:num>
  <w:num w:numId="8">
    <w:abstractNumId w:val="3"/>
  </w:num>
  <w:num w:numId="9">
    <w:abstractNumId w:val="2"/>
  </w:num>
  <w:num w:numId="10">
    <w:abstractNumId w:val="5"/>
  </w:num>
  <w:num w:numId="11">
    <w:abstractNumId w:val="7"/>
  </w:num>
  <w:num w:numId="12">
    <w:abstractNumId w:val="13"/>
  </w:num>
  <w:num w:numId="13">
    <w:abstractNumId w:val="12"/>
  </w:num>
  <w:num w:numId="14">
    <w:abstractNumId w:val="16"/>
  </w:num>
  <w:num w:numId="15">
    <w:abstractNumId w:val="14"/>
  </w:num>
  <w:num w:numId="16">
    <w:abstractNumId w:val="4"/>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70366">
    <w15:presenceInfo w15:providerId="None" w15:userId="1017036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9464F"/>
    <w:rsid w:val="000E1FDD"/>
    <w:rsid w:val="000E3AB7"/>
    <w:rsid w:val="001348FD"/>
    <w:rsid w:val="00172A27"/>
    <w:rsid w:val="001B1F34"/>
    <w:rsid w:val="001F33B2"/>
    <w:rsid w:val="001F36CB"/>
    <w:rsid w:val="0025526D"/>
    <w:rsid w:val="002569BD"/>
    <w:rsid w:val="002F71A6"/>
    <w:rsid w:val="00321F48"/>
    <w:rsid w:val="003277AA"/>
    <w:rsid w:val="003347F0"/>
    <w:rsid w:val="00351847"/>
    <w:rsid w:val="00381386"/>
    <w:rsid w:val="00393586"/>
    <w:rsid w:val="003B1438"/>
    <w:rsid w:val="00411F38"/>
    <w:rsid w:val="004624B4"/>
    <w:rsid w:val="00543EAC"/>
    <w:rsid w:val="00544BE1"/>
    <w:rsid w:val="005811A3"/>
    <w:rsid w:val="005B065E"/>
    <w:rsid w:val="005F3ED3"/>
    <w:rsid w:val="005F6B60"/>
    <w:rsid w:val="0062048B"/>
    <w:rsid w:val="00626535"/>
    <w:rsid w:val="00634D19"/>
    <w:rsid w:val="006433FB"/>
    <w:rsid w:val="00657831"/>
    <w:rsid w:val="006945FA"/>
    <w:rsid w:val="006A7A42"/>
    <w:rsid w:val="006B0F45"/>
    <w:rsid w:val="0070019A"/>
    <w:rsid w:val="00747E4F"/>
    <w:rsid w:val="0077124A"/>
    <w:rsid w:val="007F7E79"/>
    <w:rsid w:val="0096044C"/>
    <w:rsid w:val="009B01C1"/>
    <w:rsid w:val="009C25CA"/>
    <w:rsid w:val="009F62E7"/>
    <w:rsid w:val="00A717F5"/>
    <w:rsid w:val="00A9497E"/>
    <w:rsid w:val="00B2547F"/>
    <w:rsid w:val="00B45441"/>
    <w:rsid w:val="00B65666"/>
    <w:rsid w:val="00B671DE"/>
    <w:rsid w:val="00B847C9"/>
    <w:rsid w:val="00B84B2D"/>
    <w:rsid w:val="00BD5C21"/>
    <w:rsid w:val="00C12E29"/>
    <w:rsid w:val="00C66E3A"/>
    <w:rsid w:val="00CB69A3"/>
    <w:rsid w:val="00CC66FD"/>
    <w:rsid w:val="00D37B6E"/>
    <w:rsid w:val="00D5021F"/>
    <w:rsid w:val="00DA3665"/>
    <w:rsid w:val="00DC10D6"/>
    <w:rsid w:val="00E2615D"/>
    <w:rsid w:val="00E34F81"/>
    <w:rsid w:val="00EC1D05"/>
    <w:rsid w:val="00ED0DA6"/>
    <w:rsid w:val="00F13047"/>
    <w:rsid w:val="00FB5A22"/>
    <w:rsid w:val="00FD3A4D"/>
    <w:rsid w:val="00FD7588"/>
    <w:rsid w:val="00FE1F9B"/>
    <w:rsid w:val="01080B6F"/>
    <w:rsid w:val="01437A61"/>
    <w:rsid w:val="01506F02"/>
    <w:rsid w:val="015F19D6"/>
    <w:rsid w:val="017445C3"/>
    <w:rsid w:val="017456C9"/>
    <w:rsid w:val="01764F01"/>
    <w:rsid w:val="018A1D72"/>
    <w:rsid w:val="018E1CD2"/>
    <w:rsid w:val="01A61F85"/>
    <w:rsid w:val="01AD5FFD"/>
    <w:rsid w:val="01B27B92"/>
    <w:rsid w:val="01CA433D"/>
    <w:rsid w:val="01D35003"/>
    <w:rsid w:val="01E244CF"/>
    <w:rsid w:val="01ED3A95"/>
    <w:rsid w:val="01EF62F1"/>
    <w:rsid w:val="01FF5503"/>
    <w:rsid w:val="020079B9"/>
    <w:rsid w:val="02155C18"/>
    <w:rsid w:val="02170C77"/>
    <w:rsid w:val="02190CEA"/>
    <w:rsid w:val="024D6B6A"/>
    <w:rsid w:val="0285754C"/>
    <w:rsid w:val="029B04E7"/>
    <w:rsid w:val="02AF4F45"/>
    <w:rsid w:val="02B95E71"/>
    <w:rsid w:val="02DE11AF"/>
    <w:rsid w:val="03013EC3"/>
    <w:rsid w:val="03073BDC"/>
    <w:rsid w:val="03183536"/>
    <w:rsid w:val="033D6F7F"/>
    <w:rsid w:val="03527A79"/>
    <w:rsid w:val="03800D24"/>
    <w:rsid w:val="03A84378"/>
    <w:rsid w:val="03B3501D"/>
    <w:rsid w:val="03BE44B8"/>
    <w:rsid w:val="03F60737"/>
    <w:rsid w:val="044D03BB"/>
    <w:rsid w:val="0468700F"/>
    <w:rsid w:val="04885E83"/>
    <w:rsid w:val="04A373FD"/>
    <w:rsid w:val="04B369A2"/>
    <w:rsid w:val="04D31F8A"/>
    <w:rsid w:val="04E24AA5"/>
    <w:rsid w:val="05106B65"/>
    <w:rsid w:val="051C61FC"/>
    <w:rsid w:val="053F6C8C"/>
    <w:rsid w:val="054041AE"/>
    <w:rsid w:val="05502632"/>
    <w:rsid w:val="0555228E"/>
    <w:rsid w:val="05884FB9"/>
    <w:rsid w:val="059F5936"/>
    <w:rsid w:val="05B232B6"/>
    <w:rsid w:val="05B72D47"/>
    <w:rsid w:val="05BB0CDF"/>
    <w:rsid w:val="05CD4D47"/>
    <w:rsid w:val="05E078B3"/>
    <w:rsid w:val="05FD0549"/>
    <w:rsid w:val="06073056"/>
    <w:rsid w:val="061679AF"/>
    <w:rsid w:val="0618591E"/>
    <w:rsid w:val="063C54F1"/>
    <w:rsid w:val="06477969"/>
    <w:rsid w:val="06486056"/>
    <w:rsid w:val="06712493"/>
    <w:rsid w:val="06747D7C"/>
    <w:rsid w:val="06831C8E"/>
    <w:rsid w:val="06881906"/>
    <w:rsid w:val="06883E75"/>
    <w:rsid w:val="06A87E16"/>
    <w:rsid w:val="06AF3053"/>
    <w:rsid w:val="06D52007"/>
    <w:rsid w:val="06F662F7"/>
    <w:rsid w:val="07133FCF"/>
    <w:rsid w:val="07141A33"/>
    <w:rsid w:val="07220B1F"/>
    <w:rsid w:val="072B56B4"/>
    <w:rsid w:val="07680FC5"/>
    <w:rsid w:val="077D0583"/>
    <w:rsid w:val="07970706"/>
    <w:rsid w:val="07973662"/>
    <w:rsid w:val="07CE00DA"/>
    <w:rsid w:val="07F0102C"/>
    <w:rsid w:val="0813491B"/>
    <w:rsid w:val="081C5516"/>
    <w:rsid w:val="082A352F"/>
    <w:rsid w:val="08324B62"/>
    <w:rsid w:val="08350F7A"/>
    <w:rsid w:val="08460CCF"/>
    <w:rsid w:val="085B4239"/>
    <w:rsid w:val="087B6FDA"/>
    <w:rsid w:val="08981E70"/>
    <w:rsid w:val="08A5615F"/>
    <w:rsid w:val="08AC7CAE"/>
    <w:rsid w:val="08C8105B"/>
    <w:rsid w:val="08C81521"/>
    <w:rsid w:val="08F37DFE"/>
    <w:rsid w:val="090120E4"/>
    <w:rsid w:val="0934408B"/>
    <w:rsid w:val="09387EDD"/>
    <w:rsid w:val="0943503C"/>
    <w:rsid w:val="094616C4"/>
    <w:rsid w:val="09534AEF"/>
    <w:rsid w:val="09681286"/>
    <w:rsid w:val="09836E81"/>
    <w:rsid w:val="09A07C72"/>
    <w:rsid w:val="09C708F8"/>
    <w:rsid w:val="09C96BA8"/>
    <w:rsid w:val="09DA047D"/>
    <w:rsid w:val="09F67CD5"/>
    <w:rsid w:val="09F80833"/>
    <w:rsid w:val="0A133B37"/>
    <w:rsid w:val="0A297C42"/>
    <w:rsid w:val="0AA43F56"/>
    <w:rsid w:val="0AA67471"/>
    <w:rsid w:val="0ABC2D79"/>
    <w:rsid w:val="0ACC288A"/>
    <w:rsid w:val="0AD14468"/>
    <w:rsid w:val="0AD3398C"/>
    <w:rsid w:val="0AE06179"/>
    <w:rsid w:val="0AFC60A2"/>
    <w:rsid w:val="0B2A25E3"/>
    <w:rsid w:val="0B3A0AE2"/>
    <w:rsid w:val="0B5024F0"/>
    <w:rsid w:val="0B686677"/>
    <w:rsid w:val="0B6F56F3"/>
    <w:rsid w:val="0B982EA1"/>
    <w:rsid w:val="0B9A2D69"/>
    <w:rsid w:val="0B9E71DF"/>
    <w:rsid w:val="0BC06251"/>
    <w:rsid w:val="0BFD0B5F"/>
    <w:rsid w:val="0C0C0916"/>
    <w:rsid w:val="0C0C6F09"/>
    <w:rsid w:val="0C564A7A"/>
    <w:rsid w:val="0C832D4A"/>
    <w:rsid w:val="0C8A5432"/>
    <w:rsid w:val="0CC924AE"/>
    <w:rsid w:val="0CCC4520"/>
    <w:rsid w:val="0CD97F3B"/>
    <w:rsid w:val="0CDD3F82"/>
    <w:rsid w:val="0CFA4EDB"/>
    <w:rsid w:val="0D064EED"/>
    <w:rsid w:val="0D0B297C"/>
    <w:rsid w:val="0D214FE6"/>
    <w:rsid w:val="0D5767C5"/>
    <w:rsid w:val="0D5B0A43"/>
    <w:rsid w:val="0D871A9B"/>
    <w:rsid w:val="0D8D7B00"/>
    <w:rsid w:val="0D9836A2"/>
    <w:rsid w:val="0DA00873"/>
    <w:rsid w:val="0DB16A60"/>
    <w:rsid w:val="0DC700B0"/>
    <w:rsid w:val="0DFE2513"/>
    <w:rsid w:val="0DFF6A68"/>
    <w:rsid w:val="0E1A7DAF"/>
    <w:rsid w:val="0E1B5FCE"/>
    <w:rsid w:val="0E4A001E"/>
    <w:rsid w:val="0E686DA7"/>
    <w:rsid w:val="0E6C0B81"/>
    <w:rsid w:val="0E701569"/>
    <w:rsid w:val="0E944B91"/>
    <w:rsid w:val="0EDD2271"/>
    <w:rsid w:val="0EE432A7"/>
    <w:rsid w:val="0EF60AB6"/>
    <w:rsid w:val="0EFC1AE2"/>
    <w:rsid w:val="0F013029"/>
    <w:rsid w:val="0F08253D"/>
    <w:rsid w:val="0F413795"/>
    <w:rsid w:val="0F4639EB"/>
    <w:rsid w:val="0F6970A3"/>
    <w:rsid w:val="0F702566"/>
    <w:rsid w:val="0FBC2971"/>
    <w:rsid w:val="0FBE71A0"/>
    <w:rsid w:val="0FC30733"/>
    <w:rsid w:val="0FD92178"/>
    <w:rsid w:val="0FFA4586"/>
    <w:rsid w:val="104A1A4F"/>
    <w:rsid w:val="104D2AE6"/>
    <w:rsid w:val="10561F32"/>
    <w:rsid w:val="10620425"/>
    <w:rsid w:val="10A3782A"/>
    <w:rsid w:val="10A50104"/>
    <w:rsid w:val="10C0496D"/>
    <w:rsid w:val="10D80B37"/>
    <w:rsid w:val="10D92F17"/>
    <w:rsid w:val="10EA7B04"/>
    <w:rsid w:val="10F35503"/>
    <w:rsid w:val="11030C84"/>
    <w:rsid w:val="111B1D72"/>
    <w:rsid w:val="1134667E"/>
    <w:rsid w:val="11621F58"/>
    <w:rsid w:val="116479C9"/>
    <w:rsid w:val="11695B63"/>
    <w:rsid w:val="116B346E"/>
    <w:rsid w:val="116D002F"/>
    <w:rsid w:val="118F53E9"/>
    <w:rsid w:val="119D7849"/>
    <w:rsid w:val="11B054E8"/>
    <w:rsid w:val="11B65520"/>
    <w:rsid w:val="11C660C7"/>
    <w:rsid w:val="11CF4848"/>
    <w:rsid w:val="11D23AD0"/>
    <w:rsid w:val="11F218EB"/>
    <w:rsid w:val="11F616ED"/>
    <w:rsid w:val="11F86E41"/>
    <w:rsid w:val="120B0260"/>
    <w:rsid w:val="12233C96"/>
    <w:rsid w:val="1234740A"/>
    <w:rsid w:val="123A26FE"/>
    <w:rsid w:val="123B7F90"/>
    <w:rsid w:val="12553806"/>
    <w:rsid w:val="12590A59"/>
    <w:rsid w:val="125D796E"/>
    <w:rsid w:val="128D0DB9"/>
    <w:rsid w:val="128D2F2B"/>
    <w:rsid w:val="12AA19A8"/>
    <w:rsid w:val="12CB4CB1"/>
    <w:rsid w:val="12E0402C"/>
    <w:rsid w:val="12E33C14"/>
    <w:rsid w:val="12E37013"/>
    <w:rsid w:val="12EC6DF9"/>
    <w:rsid w:val="12F23557"/>
    <w:rsid w:val="12F528AB"/>
    <w:rsid w:val="132667DB"/>
    <w:rsid w:val="133C7661"/>
    <w:rsid w:val="134112D3"/>
    <w:rsid w:val="1383501E"/>
    <w:rsid w:val="138A33BA"/>
    <w:rsid w:val="139447DF"/>
    <w:rsid w:val="13954620"/>
    <w:rsid w:val="13B67F23"/>
    <w:rsid w:val="13EE415D"/>
    <w:rsid w:val="140716A3"/>
    <w:rsid w:val="14093701"/>
    <w:rsid w:val="140C3822"/>
    <w:rsid w:val="14104390"/>
    <w:rsid w:val="1430303D"/>
    <w:rsid w:val="144E732D"/>
    <w:rsid w:val="14C57A86"/>
    <w:rsid w:val="14DA3DA1"/>
    <w:rsid w:val="14DD19CC"/>
    <w:rsid w:val="14F26FC0"/>
    <w:rsid w:val="14F666AD"/>
    <w:rsid w:val="14F83D39"/>
    <w:rsid w:val="15031450"/>
    <w:rsid w:val="15092CEE"/>
    <w:rsid w:val="150D6838"/>
    <w:rsid w:val="1514231B"/>
    <w:rsid w:val="155060AD"/>
    <w:rsid w:val="156B75F7"/>
    <w:rsid w:val="15775C2D"/>
    <w:rsid w:val="157831AB"/>
    <w:rsid w:val="157B6CF3"/>
    <w:rsid w:val="158879E3"/>
    <w:rsid w:val="159F5C79"/>
    <w:rsid w:val="15A949E5"/>
    <w:rsid w:val="15B91419"/>
    <w:rsid w:val="15D84F0A"/>
    <w:rsid w:val="161B495C"/>
    <w:rsid w:val="162244AA"/>
    <w:rsid w:val="1634386D"/>
    <w:rsid w:val="16373F39"/>
    <w:rsid w:val="16435ED8"/>
    <w:rsid w:val="167B12A8"/>
    <w:rsid w:val="16B544B7"/>
    <w:rsid w:val="16CA78D6"/>
    <w:rsid w:val="16F11128"/>
    <w:rsid w:val="17155857"/>
    <w:rsid w:val="17554F66"/>
    <w:rsid w:val="17736203"/>
    <w:rsid w:val="17772F0E"/>
    <w:rsid w:val="17782358"/>
    <w:rsid w:val="177876B4"/>
    <w:rsid w:val="17796EA8"/>
    <w:rsid w:val="17A9043A"/>
    <w:rsid w:val="17B8464C"/>
    <w:rsid w:val="17D11E2E"/>
    <w:rsid w:val="17FD7605"/>
    <w:rsid w:val="180D063C"/>
    <w:rsid w:val="183E52F1"/>
    <w:rsid w:val="184B02E5"/>
    <w:rsid w:val="184B043C"/>
    <w:rsid w:val="185A1BAF"/>
    <w:rsid w:val="187704C7"/>
    <w:rsid w:val="188E29B0"/>
    <w:rsid w:val="188F1C4B"/>
    <w:rsid w:val="18957842"/>
    <w:rsid w:val="18A2772D"/>
    <w:rsid w:val="18A67D55"/>
    <w:rsid w:val="18AC7550"/>
    <w:rsid w:val="18B93256"/>
    <w:rsid w:val="18BA5122"/>
    <w:rsid w:val="18D911C5"/>
    <w:rsid w:val="18E93C8A"/>
    <w:rsid w:val="18F745E0"/>
    <w:rsid w:val="19010C43"/>
    <w:rsid w:val="19012F45"/>
    <w:rsid w:val="19084C73"/>
    <w:rsid w:val="1912214A"/>
    <w:rsid w:val="191D2C61"/>
    <w:rsid w:val="19543AF2"/>
    <w:rsid w:val="19661934"/>
    <w:rsid w:val="19664088"/>
    <w:rsid w:val="199D7CB4"/>
    <w:rsid w:val="19A54773"/>
    <w:rsid w:val="19AB577B"/>
    <w:rsid w:val="19D2084E"/>
    <w:rsid w:val="19DB2732"/>
    <w:rsid w:val="19DD7AEC"/>
    <w:rsid w:val="19E95737"/>
    <w:rsid w:val="19F878A0"/>
    <w:rsid w:val="19FE4821"/>
    <w:rsid w:val="1A054259"/>
    <w:rsid w:val="1A133FC1"/>
    <w:rsid w:val="1A2C246C"/>
    <w:rsid w:val="1A363C1C"/>
    <w:rsid w:val="1A826374"/>
    <w:rsid w:val="1A947874"/>
    <w:rsid w:val="1AB43F7A"/>
    <w:rsid w:val="1AD15346"/>
    <w:rsid w:val="1AE46E02"/>
    <w:rsid w:val="1AE64C88"/>
    <w:rsid w:val="1B131789"/>
    <w:rsid w:val="1B162303"/>
    <w:rsid w:val="1B2C2BDB"/>
    <w:rsid w:val="1B2C5080"/>
    <w:rsid w:val="1B381E97"/>
    <w:rsid w:val="1B3E389B"/>
    <w:rsid w:val="1B3F4CED"/>
    <w:rsid w:val="1B4C2996"/>
    <w:rsid w:val="1B6C0950"/>
    <w:rsid w:val="1B7F6005"/>
    <w:rsid w:val="1B8F424C"/>
    <w:rsid w:val="1BCB176F"/>
    <w:rsid w:val="1BCE55BC"/>
    <w:rsid w:val="1BDD59FB"/>
    <w:rsid w:val="1C0B7311"/>
    <w:rsid w:val="1C132CB9"/>
    <w:rsid w:val="1C1552EC"/>
    <w:rsid w:val="1C304549"/>
    <w:rsid w:val="1C3517C4"/>
    <w:rsid w:val="1C513898"/>
    <w:rsid w:val="1C5B2A0E"/>
    <w:rsid w:val="1CAD7F46"/>
    <w:rsid w:val="1CB7555A"/>
    <w:rsid w:val="1CBA47DA"/>
    <w:rsid w:val="1CCC26CA"/>
    <w:rsid w:val="1CD449E3"/>
    <w:rsid w:val="1D317AA0"/>
    <w:rsid w:val="1D6113D8"/>
    <w:rsid w:val="1D620DCC"/>
    <w:rsid w:val="1D8D6B94"/>
    <w:rsid w:val="1D9D3937"/>
    <w:rsid w:val="1DAF7AEB"/>
    <w:rsid w:val="1DDB612F"/>
    <w:rsid w:val="1DE60D6E"/>
    <w:rsid w:val="1DE64656"/>
    <w:rsid w:val="1DF755EE"/>
    <w:rsid w:val="1E051D91"/>
    <w:rsid w:val="1E0C7E2D"/>
    <w:rsid w:val="1E186CA3"/>
    <w:rsid w:val="1E5C0125"/>
    <w:rsid w:val="1E883789"/>
    <w:rsid w:val="1E8E1AF6"/>
    <w:rsid w:val="1E9D6342"/>
    <w:rsid w:val="1EB4174C"/>
    <w:rsid w:val="1ED81F91"/>
    <w:rsid w:val="1EDF6D2E"/>
    <w:rsid w:val="1EF712C9"/>
    <w:rsid w:val="1F1C7B52"/>
    <w:rsid w:val="1F21392B"/>
    <w:rsid w:val="1F285C55"/>
    <w:rsid w:val="1F2D5546"/>
    <w:rsid w:val="1F31663B"/>
    <w:rsid w:val="1F341E04"/>
    <w:rsid w:val="1F453681"/>
    <w:rsid w:val="1F592A1C"/>
    <w:rsid w:val="1F7067CF"/>
    <w:rsid w:val="1F804543"/>
    <w:rsid w:val="1F8F56DE"/>
    <w:rsid w:val="1FBF0A9D"/>
    <w:rsid w:val="1FC04B31"/>
    <w:rsid w:val="1FC21C8B"/>
    <w:rsid w:val="1FDF4300"/>
    <w:rsid w:val="20204E9F"/>
    <w:rsid w:val="2037048F"/>
    <w:rsid w:val="204861AB"/>
    <w:rsid w:val="204E6676"/>
    <w:rsid w:val="20581D1B"/>
    <w:rsid w:val="20612DAB"/>
    <w:rsid w:val="20895A28"/>
    <w:rsid w:val="20B45BB5"/>
    <w:rsid w:val="20B82B97"/>
    <w:rsid w:val="20EB2A46"/>
    <w:rsid w:val="20EC1F21"/>
    <w:rsid w:val="20F95A0C"/>
    <w:rsid w:val="210C091A"/>
    <w:rsid w:val="21214F78"/>
    <w:rsid w:val="2130153B"/>
    <w:rsid w:val="214A1C4D"/>
    <w:rsid w:val="215700AD"/>
    <w:rsid w:val="21895907"/>
    <w:rsid w:val="2191080E"/>
    <w:rsid w:val="2195668B"/>
    <w:rsid w:val="21961909"/>
    <w:rsid w:val="219C11C4"/>
    <w:rsid w:val="21B7283A"/>
    <w:rsid w:val="21DE5A1D"/>
    <w:rsid w:val="21E21AFD"/>
    <w:rsid w:val="21F145AA"/>
    <w:rsid w:val="22634A9E"/>
    <w:rsid w:val="229F3541"/>
    <w:rsid w:val="22A70284"/>
    <w:rsid w:val="22D769E6"/>
    <w:rsid w:val="22D94242"/>
    <w:rsid w:val="22EF7F39"/>
    <w:rsid w:val="235C6A88"/>
    <w:rsid w:val="237948AF"/>
    <w:rsid w:val="23A0743B"/>
    <w:rsid w:val="23AF2638"/>
    <w:rsid w:val="23B25ABE"/>
    <w:rsid w:val="23C67E75"/>
    <w:rsid w:val="23D95FB3"/>
    <w:rsid w:val="23EB1979"/>
    <w:rsid w:val="23EC0D8E"/>
    <w:rsid w:val="23FD7DA6"/>
    <w:rsid w:val="24004ED1"/>
    <w:rsid w:val="240C6238"/>
    <w:rsid w:val="2437681D"/>
    <w:rsid w:val="244231B9"/>
    <w:rsid w:val="244B7008"/>
    <w:rsid w:val="245C52F8"/>
    <w:rsid w:val="2463385E"/>
    <w:rsid w:val="2466600A"/>
    <w:rsid w:val="2476546A"/>
    <w:rsid w:val="24814A94"/>
    <w:rsid w:val="24C00E5E"/>
    <w:rsid w:val="24D93CC6"/>
    <w:rsid w:val="24DF63B3"/>
    <w:rsid w:val="24E900B5"/>
    <w:rsid w:val="24F11707"/>
    <w:rsid w:val="2501269C"/>
    <w:rsid w:val="25116F30"/>
    <w:rsid w:val="25134332"/>
    <w:rsid w:val="2545619D"/>
    <w:rsid w:val="254A2F0E"/>
    <w:rsid w:val="25765ADC"/>
    <w:rsid w:val="257E508F"/>
    <w:rsid w:val="258F4F6A"/>
    <w:rsid w:val="25967075"/>
    <w:rsid w:val="25AA0151"/>
    <w:rsid w:val="25C32584"/>
    <w:rsid w:val="25D11673"/>
    <w:rsid w:val="25D67302"/>
    <w:rsid w:val="25DB32E8"/>
    <w:rsid w:val="25F23CB4"/>
    <w:rsid w:val="262A05F3"/>
    <w:rsid w:val="262D202E"/>
    <w:rsid w:val="26411699"/>
    <w:rsid w:val="265B3F5A"/>
    <w:rsid w:val="265E0B1F"/>
    <w:rsid w:val="26894369"/>
    <w:rsid w:val="269172BF"/>
    <w:rsid w:val="26A6502F"/>
    <w:rsid w:val="26B34342"/>
    <w:rsid w:val="26B50856"/>
    <w:rsid w:val="26C8357A"/>
    <w:rsid w:val="26D42649"/>
    <w:rsid w:val="26F07AB7"/>
    <w:rsid w:val="26FD5350"/>
    <w:rsid w:val="270776EA"/>
    <w:rsid w:val="27102704"/>
    <w:rsid w:val="272874AA"/>
    <w:rsid w:val="2735180F"/>
    <w:rsid w:val="273F665E"/>
    <w:rsid w:val="27402276"/>
    <w:rsid w:val="277B5243"/>
    <w:rsid w:val="277C7F65"/>
    <w:rsid w:val="27AB7429"/>
    <w:rsid w:val="27C41D5F"/>
    <w:rsid w:val="27E05E15"/>
    <w:rsid w:val="27FA660E"/>
    <w:rsid w:val="27FD55C6"/>
    <w:rsid w:val="281A7DAA"/>
    <w:rsid w:val="28511960"/>
    <w:rsid w:val="2855638B"/>
    <w:rsid w:val="286849AF"/>
    <w:rsid w:val="28831A20"/>
    <w:rsid w:val="28B828C7"/>
    <w:rsid w:val="28DC0381"/>
    <w:rsid w:val="28E43184"/>
    <w:rsid w:val="28F820AC"/>
    <w:rsid w:val="28F849CA"/>
    <w:rsid w:val="290524D3"/>
    <w:rsid w:val="29273F24"/>
    <w:rsid w:val="29323C6F"/>
    <w:rsid w:val="29782543"/>
    <w:rsid w:val="29902095"/>
    <w:rsid w:val="29D870C4"/>
    <w:rsid w:val="29EC0FA8"/>
    <w:rsid w:val="29FA7F26"/>
    <w:rsid w:val="29FE4543"/>
    <w:rsid w:val="2A0562BB"/>
    <w:rsid w:val="2A1024D1"/>
    <w:rsid w:val="2A224843"/>
    <w:rsid w:val="2A36244A"/>
    <w:rsid w:val="2A5E6C07"/>
    <w:rsid w:val="2A6610DC"/>
    <w:rsid w:val="2A801113"/>
    <w:rsid w:val="2A9E6F6C"/>
    <w:rsid w:val="2AC8716B"/>
    <w:rsid w:val="2AD6747E"/>
    <w:rsid w:val="2ADA5A4B"/>
    <w:rsid w:val="2ADB5CB7"/>
    <w:rsid w:val="2AEB627A"/>
    <w:rsid w:val="2B1910AF"/>
    <w:rsid w:val="2B2229CF"/>
    <w:rsid w:val="2B555F82"/>
    <w:rsid w:val="2B6F401D"/>
    <w:rsid w:val="2BB362DC"/>
    <w:rsid w:val="2BC82968"/>
    <w:rsid w:val="2BFC3B43"/>
    <w:rsid w:val="2C0C03D2"/>
    <w:rsid w:val="2C144A20"/>
    <w:rsid w:val="2C396C5B"/>
    <w:rsid w:val="2C5A3998"/>
    <w:rsid w:val="2C8237BD"/>
    <w:rsid w:val="2C8D4292"/>
    <w:rsid w:val="2CAB135C"/>
    <w:rsid w:val="2CDB059B"/>
    <w:rsid w:val="2D16253E"/>
    <w:rsid w:val="2D182520"/>
    <w:rsid w:val="2D1A4F3C"/>
    <w:rsid w:val="2D305F36"/>
    <w:rsid w:val="2D911C28"/>
    <w:rsid w:val="2D945775"/>
    <w:rsid w:val="2DAE3504"/>
    <w:rsid w:val="2DC16C7F"/>
    <w:rsid w:val="2DD52C1C"/>
    <w:rsid w:val="2DF07D2C"/>
    <w:rsid w:val="2DF10448"/>
    <w:rsid w:val="2E1D68AE"/>
    <w:rsid w:val="2E25600C"/>
    <w:rsid w:val="2E557A19"/>
    <w:rsid w:val="2E816FC5"/>
    <w:rsid w:val="2EC32D1C"/>
    <w:rsid w:val="2EEE0761"/>
    <w:rsid w:val="2F0E235F"/>
    <w:rsid w:val="2F1251F2"/>
    <w:rsid w:val="2F476642"/>
    <w:rsid w:val="2F4D0880"/>
    <w:rsid w:val="2F597CE5"/>
    <w:rsid w:val="2F65041C"/>
    <w:rsid w:val="2F8E1A5B"/>
    <w:rsid w:val="2F9E0AA9"/>
    <w:rsid w:val="2FA40541"/>
    <w:rsid w:val="2FA80FCF"/>
    <w:rsid w:val="2FAB623B"/>
    <w:rsid w:val="2FB17A76"/>
    <w:rsid w:val="2FBC4893"/>
    <w:rsid w:val="2FCE10E5"/>
    <w:rsid w:val="303C3402"/>
    <w:rsid w:val="3045731E"/>
    <w:rsid w:val="30463FED"/>
    <w:rsid w:val="30645B34"/>
    <w:rsid w:val="3093020F"/>
    <w:rsid w:val="30962F3E"/>
    <w:rsid w:val="30A031D3"/>
    <w:rsid w:val="30A976D8"/>
    <w:rsid w:val="30AD24ED"/>
    <w:rsid w:val="30BA7296"/>
    <w:rsid w:val="30D17E68"/>
    <w:rsid w:val="30ED6FBC"/>
    <w:rsid w:val="30FF2795"/>
    <w:rsid w:val="31015090"/>
    <w:rsid w:val="31196BFE"/>
    <w:rsid w:val="312F7ABA"/>
    <w:rsid w:val="31385701"/>
    <w:rsid w:val="31421505"/>
    <w:rsid w:val="31712070"/>
    <w:rsid w:val="319426C9"/>
    <w:rsid w:val="319A1351"/>
    <w:rsid w:val="31AD37CB"/>
    <w:rsid w:val="31AE2CBB"/>
    <w:rsid w:val="31AF3F26"/>
    <w:rsid w:val="31B7564F"/>
    <w:rsid w:val="32097F97"/>
    <w:rsid w:val="324A3B04"/>
    <w:rsid w:val="3268144B"/>
    <w:rsid w:val="32724281"/>
    <w:rsid w:val="327A045C"/>
    <w:rsid w:val="32870CFA"/>
    <w:rsid w:val="329A6ACE"/>
    <w:rsid w:val="32B91BC1"/>
    <w:rsid w:val="32BD1C0C"/>
    <w:rsid w:val="32CB405C"/>
    <w:rsid w:val="32EB55B7"/>
    <w:rsid w:val="32EF6EA0"/>
    <w:rsid w:val="330565A9"/>
    <w:rsid w:val="3350583B"/>
    <w:rsid w:val="33593113"/>
    <w:rsid w:val="33795773"/>
    <w:rsid w:val="33884990"/>
    <w:rsid w:val="338C0BEE"/>
    <w:rsid w:val="339F3957"/>
    <w:rsid w:val="33B04569"/>
    <w:rsid w:val="33D160D7"/>
    <w:rsid w:val="340A15F8"/>
    <w:rsid w:val="34264C98"/>
    <w:rsid w:val="34324CCE"/>
    <w:rsid w:val="3433443A"/>
    <w:rsid w:val="343D4858"/>
    <w:rsid w:val="345066D3"/>
    <w:rsid w:val="34555291"/>
    <w:rsid w:val="345A0FF5"/>
    <w:rsid w:val="34662EF0"/>
    <w:rsid w:val="346D51B9"/>
    <w:rsid w:val="34991F5C"/>
    <w:rsid w:val="349948C9"/>
    <w:rsid w:val="34B7447E"/>
    <w:rsid w:val="34D31BCD"/>
    <w:rsid w:val="34D511B0"/>
    <w:rsid w:val="34D65CED"/>
    <w:rsid w:val="34E33669"/>
    <w:rsid w:val="34E34746"/>
    <w:rsid w:val="34F03D56"/>
    <w:rsid w:val="350A40D5"/>
    <w:rsid w:val="354F3747"/>
    <w:rsid w:val="358D0D27"/>
    <w:rsid w:val="358F20F7"/>
    <w:rsid w:val="35BF69A5"/>
    <w:rsid w:val="35CB781A"/>
    <w:rsid w:val="35E267A6"/>
    <w:rsid w:val="35EB325E"/>
    <w:rsid w:val="360B1D73"/>
    <w:rsid w:val="360D1184"/>
    <w:rsid w:val="361900B1"/>
    <w:rsid w:val="361F0C47"/>
    <w:rsid w:val="361F3323"/>
    <w:rsid w:val="36255613"/>
    <w:rsid w:val="363C574F"/>
    <w:rsid w:val="364267A0"/>
    <w:rsid w:val="36641902"/>
    <w:rsid w:val="366F5BA7"/>
    <w:rsid w:val="367838C2"/>
    <w:rsid w:val="367B1BA1"/>
    <w:rsid w:val="369710FB"/>
    <w:rsid w:val="369F52FB"/>
    <w:rsid w:val="36A97C29"/>
    <w:rsid w:val="36B11F02"/>
    <w:rsid w:val="36BB110A"/>
    <w:rsid w:val="36BF64C5"/>
    <w:rsid w:val="36D577A7"/>
    <w:rsid w:val="36DC4780"/>
    <w:rsid w:val="36E93760"/>
    <w:rsid w:val="36EF18DB"/>
    <w:rsid w:val="37026D9C"/>
    <w:rsid w:val="371A26B3"/>
    <w:rsid w:val="377F6C2E"/>
    <w:rsid w:val="3784394E"/>
    <w:rsid w:val="378A20E9"/>
    <w:rsid w:val="378E47C9"/>
    <w:rsid w:val="379756E5"/>
    <w:rsid w:val="37B93D75"/>
    <w:rsid w:val="37E57E1A"/>
    <w:rsid w:val="37FC588F"/>
    <w:rsid w:val="3803014D"/>
    <w:rsid w:val="3807337D"/>
    <w:rsid w:val="38090879"/>
    <w:rsid w:val="382053F4"/>
    <w:rsid w:val="385326F7"/>
    <w:rsid w:val="3854590A"/>
    <w:rsid w:val="386866F0"/>
    <w:rsid w:val="388A105B"/>
    <w:rsid w:val="389630EF"/>
    <w:rsid w:val="38972167"/>
    <w:rsid w:val="389B6668"/>
    <w:rsid w:val="38AE3BB0"/>
    <w:rsid w:val="38BE473D"/>
    <w:rsid w:val="38C447AF"/>
    <w:rsid w:val="38D906FE"/>
    <w:rsid w:val="38DA76A0"/>
    <w:rsid w:val="3915380E"/>
    <w:rsid w:val="393D0B2E"/>
    <w:rsid w:val="39625FFA"/>
    <w:rsid w:val="39813FDB"/>
    <w:rsid w:val="39816CA9"/>
    <w:rsid w:val="39B90C3E"/>
    <w:rsid w:val="39CA3178"/>
    <w:rsid w:val="39E94109"/>
    <w:rsid w:val="39F25D00"/>
    <w:rsid w:val="39F51C71"/>
    <w:rsid w:val="3A1549C0"/>
    <w:rsid w:val="3A493003"/>
    <w:rsid w:val="3A79098B"/>
    <w:rsid w:val="3ABA7F79"/>
    <w:rsid w:val="3AC53C80"/>
    <w:rsid w:val="3ACB5746"/>
    <w:rsid w:val="3ACE429E"/>
    <w:rsid w:val="3B025227"/>
    <w:rsid w:val="3B0E06A3"/>
    <w:rsid w:val="3B0F6F2A"/>
    <w:rsid w:val="3B120768"/>
    <w:rsid w:val="3B140579"/>
    <w:rsid w:val="3B292398"/>
    <w:rsid w:val="3B460C06"/>
    <w:rsid w:val="3B5F27C6"/>
    <w:rsid w:val="3B8C5675"/>
    <w:rsid w:val="3B9D1BFC"/>
    <w:rsid w:val="3BAE00CA"/>
    <w:rsid w:val="3BB20883"/>
    <w:rsid w:val="3BB23A28"/>
    <w:rsid w:val="3BB77BBB"/>
    <w:rsid w:val="3BC40093"/>
    <w:rsid w:val="3BD83306"/>
    <w:rsid w:val="3BE45E47"/>
    <w:rsid w:val="3BF81530"/>
    <w:rsid w:val="3C0816B9"/>
    <w:rsid w:val="3C135C65"/>
    <w:rsid w:val="3C2D02B6"/>
    <w:rsid w:val="3C3444AF"/>
    <w:rsid w:val="3C3F729D"/>
    <w:rsid w:val="3C55089F"/>
    <w:rsid w:val="3C60316A"/>
    <w:rsid w:val="3C622EE6"/>
    <w:rsid w:val="3C955675"/>
    <w:rsid w:val="3C9A6EED"/>
    <w:rsid w:val="3CC41461"/>
    <w:rsid w:val="3D023845"/>
    <w:rsid w:val="3D9317E6"/>
    <w:rsid w:val="3D9872A4"/>
    <w:rsid w:val="3DBC7333"/>
    <w:rsid w:val="3DC318F9"/>
    <w:rsid w:val="3DC70053"/>
    <w:rsid w:val="3DDA31A7"/>
    <w:rsid w:val="3DF16D14"/>
    <w:rsid w:val="3E2B5D9D"/>
    <w:rsid w:val="3E441C7D"/>
    <w:rsid w:val="3E540B58"/>
    <w:rsid w:val="3E5906EA"/>
    <w:rsid w:val="3E5A271E"/>
    <w:rsid w:val="3E5B2E15"/>
    <w:rsid w:val="3E6C0394"/>
    <w:rsid w:val="3EB40F96"/>
    <w:rsid w:val="3EDB22F2"/>
    <w:rsid w:val="3EE13C1F"/>
    <w:rsid w:val="3F176A72"/>
    <w:rsid w:val="3F735696"/>
    <w:rsid w:val="3F8D49A0"/>
    <w:rsid w:val="3FC956FF"/>
    <w:rsid w:val="3FE60112"/>
    <w:rsid w:val="3FF25547"/>
    <w:rsid w:val="4026338F"/>
    <w:rsid w:val="40535DCF"/>
    <w:rsid w:val="405C4F4A"/>
    <w:rsid w:val="40687356"/>
    <w:rsid w:val="406F6DD7"/>
    <w:rsid w:val="407C77F7"/>
    <w:rsid w:val="40A55B4C"/>
    <w:rsid w:val="40AA0288"/>
    <w:rsid w:val="40C40850"/>
    <w:rsid w:val="40E724BF"/>
    <w:rsid w:val="40EE4EBA"/>
    <w:rsid w:val="40F17BE4"/>
    <w:rsid w:val="40FF2E56"/>
    <w:rsid w:val="41517497"/>
    <w:rsid w:val="41692B48"/>
    <w:rsid w:val="416A15DC"/>
    <w:rsid w:val="416B3929"/>
    <w:rsid w:val="41754EA9"/>
    <w:rsid w:val="41811B59"/>
    <w:rsid w:val="419769E6"/>
    <w:rsid w:val="41A46DCD"/>
    <w:rsid w:val="41A8534E"/>
    <w:rsid w:val="41C10C8D"/>
    <w:rsid w:val="41C73029"/>
    <w:rsid w:val="41D950BB"/>
    <w:rsid w:val="41E016F0"/>
    <w:rsid w:val="41E44DEF"/>
    <w:rsid w:val="41F466FD"/>
    <w:rsid w:val="41F61692"/>
    <w:rsid w:val="42164ACC"/>
    <w:rsid w:val="424241FC"/>
    <w:rsid w:val="42446761"/>
    <w:rsid w:val="426234E3"/>
    <w:rsid w:val="42626585"/>
    <w:rsid w:val="426953E1"/>
    <w:rsid w:val="427431D3"/>
    <w:rsid w:val="42A67A24"/>
    <w:rsid w:val="42C45AAA"/>
    <w:rsid w:val="42CA0175"/>
    <w:rsid w:val="42D60789"/>
    <w:rsid w:val="42DB2A4D"/>
    <w:rsid w:val="42DF10B4"/>
    <w:rsid w:val="42E06364"/>
    <w:rsid w:val="42E56295"/>
    <w:rsid w:val="42FF008B"/>
    <w:rsid w:val="43036A41"/>
    <w:rsid w:val="43671DA4"/>
    <w:rsid w:val="43755843"/>
    <w:rsid w:val="43866718"/>
    <w:rsid w:val="43AC0D1B"/>
    <w:rsid w:val="43B4505F"/>
    <w:rsid w:val="43CD3BF5"/>
    <w:rsid w:val="43EA3A0B"/>
    <w:rsid w:val="440D5045"/>
    <w:rsid w:val="44195E47"/>
    <w:rsid w:val="441D5D2F"/>
    <w:rsid w:val="442C14ED"/>
    <w:rsid w:val="44325400"/>
    <w:rsid w:val="443E7D9D"/>
    <w:rsid w:val="44B30F79"/>
    <w:rsid w:val="44C546FD"/>
    <w:rsid w:val="44CD521F"/>
    <w:rsid w:val="44D976D4"/>
    <w:rsid w:val="44DC4C9B"/>
    <w:rsid w:val="44ED3B09"/>
    <w:rsid w:val="44F80102"/>
    <w:rsid w:val="45010C1B"/>
    <w:rsid w:val="45124B1B"/>
    <w:rsid w:val="45441829"/>
    <w:rsid w:val="454458B2"/>
    <w:rsid w:val="455E2CBD"/>
    <w:rsid w:val="45646938"/>
    <w:rsid w:val="457816BC"/>
    <w:rsid w:val="457B47C2"/>
    <w:rsid w:val="45A540A0"/>
    <w:rsid w:val="45A552A6"/>
    <w:rsid w:val="45BC05AA"/>
    <w:rsid w:val="45BC3824"/>
    <w:rsid w:val="45BE6191"/>
    <w:rsid w:val="45CF34C7"/>
    <w:rsid w:val="45F01007"/>
    <w:rsid w:val="460C5979"/>
    <w:rsid w:val="46124A67"/>
    <w:rsid w:val="46213BAE"/>
    <w:rsid w:val="462443B8"/>
    <w:rsid w:val="463F46E3"/>
    <w:rsid w:val="46516C48"/>
    <w:rsid w:val="46536B9D"/>
    <w:rsid w:val="46543992"/>
    <w:rsid w:val="46945804"/>
    <w:rsid w:val="469B0DD6"/>
    <w:rsid w:val="46A25328"/>
    <w:rsid w:val="46A53925"/>
    <w:rsid w:val="46A54E5D"/>
    <w:rsid w:val="46BF5632"/>
    <w:rsid w:val="46F90CC7"/>
    <w:rsid w:val="47065E2F"/>
    <w:rsid w:val="471D5E5A"/>
    <w:rsid w:val="473C174A"/>
    <w:rsid w:val="473D6E60"/>
    <w:rsid w:val="474E6924"/>
    <w:rsid w:val="47845B2B"/>
    <w:rsid w:val="47957EDD"/>
    <w:rsid w:val="47991467"/>
    <w:rsid w:val="47A05E90"/>
    <w:rsid w:val="47C01792"/>
    <w:rsid w:val="47EB6582"/>
    <w:rsid w:val="47EB66EB"/>
    <w:rsid w:val="47FA3DCD"/>
    <w:rsid w:val="47FD63AC"/>
    <w:rsid w:val="47FD6EC5"/>
    <w:rsid w:val="48071E44"/>
    <w:rsid w:val="4808150F"/>
    <w:rsid w:val="481225AA"/>
    <w:rsid w:val="481D0253"/>
    <w:rsid w:val="484539B4"/>
    <w:rsid w:val="484716B7"/>
    <w:rsid w:val="484B55D8"/>
    <w:rsid w:val="48527BA9"/>
    <w:rsid w:val="487256BD"/>
    <w:rsid w:val="48E05B10"/>
    <w:rsid w:val="48FF10D1"/>
    <w:rsid w:val="49030FFC"/>
    <w:rsid w:val="49165FE6"/>
    <w:rsid w:val="491A1665"/>
    <w:rsid w:val="49362EBD"/>
    <w:rsid w:val="4956291B"/>
    <w:rsid w:val="495E1056"/>
    <w:rsid w:val="49622DE7"/>
    <w:rsid w:val="49825CAC"/>
    <w:rsid w:val="498755ED"/>
    <w:rsid w:val="499E4D25"/>
    <w:rsid w:val="49B137A8"/>
    <w:rsid w:val="49DC3C68"/>
    <w:rsid w:val="49F95C1C"/>
    <w:rsid w:val="49FD6D5F"/>
    <w:rsid w:val="4A100195"/>
    <w:rsid w:val="4A147D9C"/>
    <w:rsid w:val="4A2D5575"/>
    <w:rsid w:val="4A646009"/>
    <w:rsid w:val="4A85023A"/>
    <w:rsid w:val="4A876E70"/>
    <w:rsid w:val="4A894B86"/>
    <w:rsid w:val="4A8D67CC"/>
    <w:rsid w:val="4AAD5D0F"/>
    <w:rsid w:val="4AC31003"/>
    <w:rsid w:val="4ACE220D"/>
    <w:rsid w:val="4AE93159"/>
    <w:rsid w:val="4AF56C42"/>
    <w:rsid w:val="4B13761A"/>
    <w:rsid w:val="4B1754E6"/>
    <w:rsid w:val="4B421536"/>
    <w:rsid w:val="4B5F0A4F"/>
    <w:rsid w:val="4B7D7483"/>
    <w:rsid w:val="4B891D48"/>
    <w:rsid w:val="4BD0339A"/>
    <w:rsid w:val="4BE969B7"/>
    <w:rsid w:val="4BFC774D"/>
    <w:rsid w:val="4C0562AC"/>
    <w:rsid w:val="4C152B68"/>
    <w:rsid w:val="4C186F89"/>
    <w:rsid w:val="4C1F08A4"/>
    <w:rsid w:val="4C284069"/>
    <w:rsid w:val="4C3C6F53"/>
    <w:rsid w:val="4C6E0A91"/>
    <w:rsid w:val="4C7054CA"/>
    <w:rsid w:val="4C780737"/>
    <w:rsid w:val="4CA65BA1"/>
    <w:rsid w:val="4CC240F8"/>
    <w:rsid w:val="4CD25F56"/>
    <w:rsid w:val="4CE30A72"/>
    <w:rsid w:val="4CF169DE"/>
    <w:rsid w:val="4CF77E42"/>
    <w:rsid w:val="4CF8635B"/>
    <w:rsid w:val="4D0616E4"/>
    <w:rsid w:val="4D1E7657"/>
    <w:rsid w:val="4D462159"/>
    <w:rsid w:val="4D51400A"/>
    <w:rsid w:val="4D742FF2"/>
    <w:rsid w:val="4DC605B6"/>
    <w:rsid w:val="4DEC0985"/>
    <w:rsid w:val="4E101C2E"/>
    <w:rsid w:val="4E122AB5"/>
    <w:rsid w:val="4E27683A"/>
    <w:rsid w:val="4E756B6C"/>
    <w:rsid w:val="4EA769BC"/>
    <w:rsid w:val="4EA966CD"/>
    <w:rsid w:val="4EAC64F8"/>
    <w:rsid w:val="4ED8470E"/>
    <w:rsid w:val="4F196B45"/>
    <w:rsid w:val="4F1B0DF4"/>
    <w:rsid w:val="4F285975"/>
    <w:rsid w:val="4F30662D"/>
    <w:rsid w:val="4F417CD9"/>
    <w:rsid w:val="4F706B57"/>
    <w:rsid w:val="4F780608"/>
    <w:rsid w:val="4F9313E2"/>
    <w:rsid w:val="4F9854E8"/>
    <w:rsid w:val="4FB02BFD"/>
    <w:rsid w:val="4FE573B5"/>
    <w:rsid w:val="500C4936"/>
    <w:rsid w:val="50152EDA"/>
    <w:rsid w:val="502C2B69"/>
    <w:rsid w:val="504C6BFB"/>
    <w:rsid w:val="507C6E4A"/>
    <w:rsid w:val="50D43A89"/>
    <w:rsid w:val="50F12CC6"/>
    <w:rsid w:val="50F964C5"/>
    <w:rsid w:val="50FC66B2"/>
    <w:rsid w:val="511D3CCE"/>
    <w:rsid w:val="51367C11"/>
    <w:rsid w:val="513D56EB"/>
    <w:rsid w:val="51867298"/>
    <w:rsid w:val="5190228C"/>
    <w:rsid w:val="51956725"/>
    <w:rsid w:val="519D3A0C"/>
    <w:rsid w:val="51B778FE"/>
    <w:rsid w:val="51B83A10"/>
    <w:rsid w:val="51B96A3D"/>
    <w:rsid w:val="51C74B6E"/>
    <w:rsid w:val="51D04773"/>
    <w:rsid w:val="51E62B93"/>
    <w:rsid w:val="51EB796A"/>
    <w:rsid w:val="51EE6318"/>
    <w:rsid w:val="51F400A3"/>
    <w:rsid w:val="51FA6DFB"/>
    <w:rsid w:val="52102A1D"/>
    <w:rsid w:val="521E2545"/>
    <w:rsid w:val="52245443"/>
    <w:rsid w:val="522958EE"/>
    <w:rsid w:val="523474E0"/>
    <w:rsid w:val="52503746"/>
    <w:rsid w:val="52862126"/>
    <w:rsid w:val="52911569"/>
    <w:rsid w:val="52AC79B9"/>
    <w:rsid w:val="52B25608"/>
    <w:rsid w:val="52BB396A"/>
    <w:rsid w:val="52E04D27"/>
    <w:rsid w:val="52EF65F9"/>
    <w:rsid w:val="52F836BF"/>
    <w:rsid w:val="530428D0"/>
    <w:rsid w:val="531C770B"/>
    <w:rsid w:val="53350C2E"/>
    <w:rsid w:val="537A295A"/>
    <w:rsid w:val="53DB3477"/>
    <w:rsid w:val="53E4258F"/>
    <w:rsid w:val="53E5582D"/>
    <w:rsid w:val="53F37B15"/>
    <w:rsid w:val="54011799"/>
    <w:rsid w:val="540B6400"/>
    <w:rsid w:val="5419761C"/>
    <w:rsid w:val="542447A9"/>
    <w:rsid w:val="54275237"/>
    <w:rsid w:val="542F655A"/>
    <w:rsid w:val="543A356D"/>
    <w:rsid w:val="543A7B02"/>
    <w:rsid w:val="545C39EF"/>
    <w:rsid w:val="546A56FE"/>
    <w:rsid w:val="54AA6B85"/>
    <w:rsid w:val="54AE47F8"/>
    <w:rsid w:val="54AF580B"/>
    <w:rsid w:val="54B306C8"/>
    <w:rsid w:val="54BC6387"/>
    <w:rsid w:val="54D54B2A"/>
    <w:rsid w:val="54DD6B4F"/>
    <w:rsid w:val="54EB6752"/>
    <w:rsid w:val="55635ECF"/>
    <w:rsid w:val="556C16BE"/>
    <w:rsid w:val="55932F9A"/>
    <w:rsid w:val="559A6058"/>
    <w:rsid w:val="55B73987"/>
    <w:rsid w:val="55BF5081"/>
    <w:rsid w:val="55C02190"/>
    <w:rsid w:val="55D3662E"/>
    <w:rsid w:val="55DD6F2A"/>
    <w:rsid w:val="55DF37BD"/>
    <w:rsid w:val="55E30A78"/>
    <w:rsid w:val="55EA7ECE"/>
    <w:rsid w:val="55F606A8"/>
    <w:rsid w:val="560F24F2"/>
    <w:rsid w:val="56125CF1"/>
    <w:rsid w:val="56165CB7"/>
    <w:rsid w:val="56180219"/>
    <w:rsid w:val="562D518D"/>
    <w:rsid w:val="56446C28"/>
    <w:rsid w:val="5656187C"/>
    <w:rsid w:val="566B3DD4"/>
    <w:rsid w:val="567803F7"/>
    <w:rsid w:val="567A26A6"/>
    <w:rsid w:val="567C770A"/>
    <w:rsid w:val="56851F4C"/>
    <w:rsid w:val="56877160"/>
    <w:rsid w:val="569759CB"/>
    <w:rsid w:val="56C667C4"/>
    <w:rsid w:val="56CA2B61"/>
    <w:rsid w:val="56CA7983"/>
    <w:rsid w:val="56F52099"/>
    <w:rsid w:val="575C0154"/>
    <w:rsid w:val="575C0FD7"/>
    <w:rsid w:val="57631268"/>
    <w:rsid w:val="576363AD"/>
    <w:rsid w:val="577F59DB"/>
    <w:rsid w:val="578F220A"/>
    <w:rsid w:val="57A12BFE"/>
    <w:rsid w:val="57A35BE1"/>
    <w:rsid w:val="57B60F66"/>
    <w:rsid w:val="57DE0D31"/>
    <w:rsid w:val="57FC07D9"/>
    <w:rsid w:val="580714B3"/>
    <w:rsid w:val="58167205"/>
    <w:rsid w:val="58500F22"/>
    <w:rsid w:val="586430F6"/>
    <w:rsid w:val="586C7ACD"/>
    <w:rsid w:val="58A50B8A"/>
    <w:rsid w:val="58C70221"/>
    <w:rsid w:val="58D34961"/>
    <w:rsid w:val="58D959AC"/>
    <w:rsid w:val="58EB1A5E"/>
    <w:rsid w:val="591C15A9"/>
    <w:rsid w:val="593A3882"/>
    <w:rsid w:val="5950022E"/>
    <w:rsid w:val="59990357"/>
    <w:rsid w:val="599C3624"/>
    <w:rsid w:val="59E400AE"/>
    <w:rsid w:val="59E53AB3"/>
    <w:rsid w:val="5A23147E"/>
    <w:rsid w:val="5A624055"/>
    <w:rsid w:val="5A634157"/>
    <w:rsid w:val="5A8B68C5"/>
    <w:rsid w:val="5A9B6846"/>
    <w:rsid w:val="5ACE2EAD"/>
    <w:rsid w:val="5ACF0F3A"/>
    <w:rsid w:val="5B1B6E0D"/>
    <w:rsid w:val="5B1D725C"/>
    <w:rsid w:val="5B425C09"/>
    <w:rsid w:val="5B626796"/>
    <w:rsid w:val="5B697AE2"/>
    <w:rsid w:val="5B7E1360"/>
    <w:rsid w:val="5B927169"/>
    <w:rsid w:val="5BA14EAD"/>
    <w:rsid w:val="5BC8735E"/>
    <w:rsid w:val="5BD66671"/>
    <w:rsid w:val="5BE20051"/>
    <w:rsid w:val="5BF039C3"/>
    <w:rsid w:val="5BF0650B"/>
    <w:rsid w:val="5C124A1F"/>
    <w:rsid w:val="5C401D1A"/>
    <w:rsid w:val="5C650C67"/>
    <w:rsid w:val="5C6B1600"/>
    <w:rsid w:val="5CBA1FC8"/>
    <w:rsid w:val="5CC86D08"/>
    <w:rsid w:val="5CC96A77"/>
    <w:rsid w:val="5CE00AC7"/>
    <w:rsid w:val="5CEB56B3"/>
    <w:rsid w:val="5CEB7A74"/>
    <w:rsid w:val="5CF20DF5"/>
    <w:rsid w:val="5CF90894"/>
    <w:rsid w:val="5CFB64E8"/>
    <w:rsid w:val="5D0471BF"/>
    <w:rsid w:val="5D2A4792"/>
    <w:rsid w:val="5D404739"/>
    <w:rsid w:val="5D482D04"/>
    <w:rsid w:val="5D4B2AFC"/>
    <w:rsid w:val="5D8359DE"/>
    <w:rsid w:val="5D9634ED"/>
    <w:rsid w:val="5D9742E9"/>
    <w:rsid w:val="5DD11A27"/>
    <w:rsid w:val="5DD76117"/>
    <w:rsid w:val="5DDD7CD1"/>
    <w:rsid w:val="5DFD51DB"/>
    <w:rsid w:val="5E0D36E5"/>
    <w:rsid w:val="5E2F5A16"/>
    <w:rsid w:val="5E706241"/>
    <w:rsid w:val="5E835A54"/>
    <w:rsid w:val="5E84234E"/>
    <w:rsid w:val="5E8F600C"/>
    <w:rsid w:val="5EA81BD2"/>
    <w:rsid w:val="5EB842C4"/>
    <w:rsid w:val="5EED4808"/>
    <w:rsid w:val="5EF73592"/>
    <w:rsid w:val="5F09747A"/>
    <w:rsid w:val="5F184DA0"/>
    <w:rsid w:val="5F2A75D3"/>
    <w:rsid w:val="5F397968"/>
    <w:rsid w:val="5F506F2A"/>
    <w:rsid w:val="5F5A5314"/>
    <w:rsid w:val="5F5E7C7C"/>
    <w:rsid w:val="5F695301"/>
    <w:rsid w:val="5F811F03"/>
    <w:rsid w:val="5F87413A"/>
    <w:rsid w:val="5FAA63FD"/>
    <w:rsid w:val="5FB05670"/>
    <w:rsid w:val="5FB63A21"/>
    <w:rsid w:val="5FF30AA4"/>
    <w:rsid w:val="60325A6D"/>
    <w:rsid w:val="607C3753"/>
    <w:rsid w:val="608E56AB"/>
    <w:rsid w:val="60C30855"/>
    <w:rsid w:val="60FC248A"/>
    <w:rsid w:val="610B22F8"/>
    <w:rsid w:val="611C64E5"/>
    <w:rsid w:val="6131764A"/>
    <w:rsid w:val="61362E41"/>
    <w:rsid w:val="61421EFD"/>
    <w:rsid w:val="614629DC"/>
    <w:rsid w:val="614A129E"/>
    <w:rsid w:val="615C5041"/>
    <w:rsid w:val="616A1B58"/>
    <w:rsid w:val="617333B6"/>
    <w:rsid w:val="61774CB9"/>
    <w:rsid w:val="618520C2"/>
    <w:rsid w:val="61A7347F"/>
    <w:rsid w:val="61C14AB5"/>
    <w:rsid w:val="61EF4969"/>
    <w:rsid w:val="61FA7611"/>
    <w:rsid w:val="62026BD3"/>
    <w:rsid w:val="62137B52"/>
    <w:rsid w:val="62324E49"/>
    <w:rsid w:val="623762F0"/>
    <w:rsid w:val="623F2C93"/>
    <w:rsid w:val="624920AF"/>
    <w:rsid w:val="626B51CD"/>
    <w:rsid w:val="628A5ECE"/>
    <w:rsid w:val="62DD0C4A"/>
    <w:rsid w:val="62F80BC8"/>
    <w:rsid w:val="62F8111F"/>
    <w:rsid w:val="63100BB6"/>
    <w:rsid w:val="631C33C3"/>
    <w:rsid w:val="63334167"/>
    <w:rsid w:val="633A2F0F"/>
    <w:rsid w:val="635812E7"/>
    <w:rsid w:val="638F559F"/>
    <w:rsid w:val="639141C7"/>
    <w:rsid w:val="639B751A"/>
    <w:rsid w:val="63C25B6F"/>
    <w:rsid w:val="63F64D87"/>
    <w:rsid w:val="641D1115"/>
    <w:rsid w:val="641F6396"/>
    <w:rsid w:val="64376934"/>
    <w:rsid w:val="64377806"/>
    <w:rsid w:val="64442837"/>
    <w:rsid w:val="64536351"/>
    <w:rsid w:val="647D7140"/>
    <w:rsid w:val="64900D2A"/>
    <w:rsid w:val="64A671FE"/>
    <w:rsid w:val="64B25607"/>
    <w:rsid w:val="64DA6527"/>
    <w:rsid w:val="650857E9"/>
    <w:rsid w:val="65236366"/>
    <w:rsid w:val="65270D6C"/>
    <w:rsid w:val="65520131"/>
    <w:rsid w:val="655C0A89"/>
    <w:rsid w:val="658313BF"/>
    <w:rsid w:val="65D57150"/>
    <w:rsid w:val="65D93670"/>
    <w:rsid w:val="65FA66D8"/>
    <w:rsid w:val="660D46B6"/>
    <w:rsid w:val="66136E56"/>
    <w:rsid w:val="661B7E72"/>
    <w:rsid w:val="66277277"/>
    <w:rsid w:val="66303CDA"/>
    <w:rsid w:val="664805B8"/>
    <w:rsid w:val="66536F98"/>
    <w:rsid w:val="665C363B"/>
    <w:rsid w:val="665E6B07"/>
    <w:rsid w:val="667818F1"/>
    <w:rsid w:val="668064B2"/>
    <w:rsid w:val="668272F2"/>
    <w:rsid w:val="66A52780"/>
    <w:rsid w:val="66B15E56"/>
    <w:rsid w:val="66B938F1"/>
    <w:rsid w:val="66C5705F"/>
    <w:rsid w:val="66F62232"/>
    <w:rsid w:val="66FB0D6A"/>
    <w:rsid w:val="675118B1"/>
    <w:rsid w:val="67597083"/>
    <w:rsid w:val="67625CB4"/>
    <w:rsid w:val="67887097"/>
    <w:rsid w:val="67983D4B"/>
    <w:rsid w:val="67A0729A"/>
    <w:rsid w:val="67B00820"/>
    <w:rsid w:val="67B579AB"/>
    <w:rsid w:val="67C07F6B"/>
    <w:rsid w:val="67E56A38"/>
    <w:rsid w:val="67F30029"/>
    <w:rsid w:val="680B3882"/>
    <w:rsid w:val="681459A9"/>
    <w:rsid w:val="683C7993"/>
    <w:rsid w:val="68832B72"/>
    <w:rsid w:val="68945A17"/>
    <w:rsid w:val="68C67F8F"/>
    <w:rsid w:val="68D060E9"/>
    <w:rsid w:val="68E87F64"/>
    <w:rsid w:val="690F418B"/>
    <w:rsid w:val="6940392F"/>
    <w:rsid w:val="69561574"/>
    <w:rsid w:val="6978257B"/>
    <w:rsid w:val="698828E9"/>
    <w:rsid w:val="699D57AD"/>
    <w:rsid w:val="69A41AFD"/>
    <w:rsid w:val="69C05FE2"/>
    <w:rsid w:val="69E41C32"/>
    <w:rsid w:val="69F72197"/>
    <w:rsid w:val="69FA04C3"/>
    <w:rsid w:val="6A36357B"/>
    <w:rsid w:val="6A7A2736"/>
    <w:rsid w:val="6A7B4B9C"/>
    <w:rsid w:val="6A7C17B0"/>
    <w:rsid w:val="6A7C2DFE"/>
    <w:rsid w:val="6A8F16B3"/>
    <w:rsid w:val="6A990A83"/>
    <w:rsid w:val="6A9C3156"/>
    <w:rsid w:val="6AE417B4"/>
    <w:rsid w:val="6AE641CD"/>
    <w:rsid w:val="6AE7512C"/>
    <w:rsid w:val="6AF87D5D"/>
    <w:rsid w:val="6AFB1493"/>
    <w:rsid w:val="6B24228B"/>
    <w:rsid w:val="6B276948"/>
    <w:rsid w:val="6B376B55"/>
    <w:rsid w:val="6B580989"/>
    <w:rsid w:val="6B5F3A46"/>
    <w:rsid w:val="6B766ADE"/>
    <w:rsid w:val="6B78108A"/>
    <w:rsid w:val="6B8E46E1"/>
    <w:rsid w:val="6BA828E6"/>
    <w:rsid w:val="6BB37633"/>
    <w:rsid w:val="6BEA5D49"/>
    <w:rsid w:val="6BEE109B"/>
    <w:rsid w:val="6BF77EB9"/>
    <w:rsid w:val="6C1011AD"/>
    <w:rsid w:val="6C307C08"/>
    <w:rsid w:val="6C4A3C53"/>
    <w:rsid w:val="6C4B5ADC"/>
    <w:rsid w:val="6C89456C"/>
    <w:rsid w:val="6C8E1D32"/>
    <w:rsid w:val="6CB16DAC"/>
    <w:rsid w:val="6CC97384"/>
    <w:rsid w:val="6CD706F6"/>
    <w:rsid w:val="6CEA2742"/>
    <w:rsid w:val="6D2D6623"/>
    <w:rsid w:val="6D4F5BCE"/>
    <w:rsid w:val="6D6B27BC"/>
    <w:rsid w:val="6D8D165B"/>
    <w:rsid w:val="6DBE3207"/>
    <w:rsid w:val="6E0A5D42"/>
    <w:rsid w:val="6E1A700F"/>
    <w:rsid w:val="6E1E27F3"/>
    <w:rsid w:val="6E3E0786"/>
    <w:rsid w:val="6E6A58ED"/>
    <w:rsid w:val="6EA85A87"/>
    <w:rsid w:val="6EB3417E"/>
    <w:rsid w:val="6ECA45A4"/>
    <w:rsid w:val="6EDE3231"/>
    <w:rsid w:val="6F16073E"/>
    <w:rsid w:val="6F260763"/>
    <w:rsid w:val="6F517F2E"/>
    <w:rsid w:val="6F7602B2"/>
    <w:rsid w:val="6FA629D4"/>
    <w:rsid w:val="6FB72D4A"/>
    <w:rsid w:val="6FD00912"/>
    <w:rsid w:val="6FD56CEA"/>
    <w:rsid w:val="6FE43383"/>
    <w:rsid w:val="6FE708E6"/>
    <w:rsid w:val="70166419"/>
    <w:rsid w:val="70496111"/>
    <w:rsid w:val="70574598"/>
    <w:rsid w:val="706375D4"/>
    <w:rsid w:val="706401AE"/>
    <w:rsid w:val="707846A0"/>
    <w:rsid w:val="7088600D"/>
    <w:rsid w:val="709C759D"/>
    <w:rsid w:val="70AC02C2"/>
    <w:rsid w:val="70BB2EF0"/>
    <w:rsid w:val="70CC6506"/>
    <w:rsid w:val="70DD7CB3"/>
    <w:rsid w:val="7103208C"/>
    <w:rsid w:val="710C6EAE"/>
    <w:rsid w:val="7130430A"/>
    <w:rsid w:val="7150365F"/>
    <w:rsid w:val="71671A79"/>
    <w:rsid w:val="7175765A"/>
    <w:rsid w:val="7194295C"/>
    <w:rsid w:val="71A73933"/>
    <w:rsid w:val="71EA3357"/>
    <w:rsid w:val="72046397"/>
    <w:rsid w:val="72341885"/>
    <w:rsid w:val="723A58E7"/>
    <w:rsid w:val="72452BD2"/>
    <w:rsid w:val="724B6A5A"/>
    <w:rsid w:val="7264054F"/>
    <w:rsid w:val="72655FBD"/>
    <w:rsid w:val="72770363"/>
    <w:rsid w:val="72797EDB"/>
    <w:rsid w:val="72817AD0"/>
    <w:rsid w:val="729832D3"/>
    <w:rsid w:val="72A86604"/>
    <w:rsid w:val="72AC4A74"/>
    <w:rsid w:val="72C608F3"/>
    <w:rsid w:val="72F14C0C"/>
    <w:rsid w:val="73050992"/>
    <w:rsid w:val="732873A7"/>
    <w:rsid w:val="73556AAB"/>
    <w:rsid w:val="737B6235"/>
    <w:rsid w:val="7395330C"/>
    <w:rsid w:val="73976C69"/>
    <w:rsid w:val="73AD1AD3"/>
    <w:rsid w:val="73BA7262"/>
    <w:rsid w:val="73D425F7"/>
    <w:rsid w:val="740C5EC3"/>
    <w:rsid w:val="74606E6E"/>
    <w:rsid w:val="74887DBC"/>
    <w:rsid w:val="749A09F8"/>
    <w:rsid w:val="74B46A5A"/>
    <w:rsid w:val="74B51505"/>
    <w:rsid w:val="74C24933"/>
    <w:rsid w:val="74F8602C"/>
    <w:rsid w:val="750A6406"/>
    <w:rsid w:val="75304797"/>
    <w:rsid w:val="7543008A"/>
    <w:rsid w:val="75437788"/>
    <w:rsid w:val="75B565B4"/>
    <w:rsid w:val="75E919E3"/>
    <w:rsid w:val="75EA0E16"/>
    <w:rsid w:val="75F21B83"/>
    <w:rsid w:val="75FA42AE"/>
    <w:rsid w:val="75FD035C"/>
    <w:rsid w:val="7600786F"/>
    <w:rsid w:val="761E3D8C"/>
    <w:rsid w:val="762471B2"/>
    <w:rsid w:val="762D2C4D"/>
    <w:rsid w:val="76452A46"/>
    <w:rsid w:val="76483329"/>
    <w:rsid w:val="764E59F4"/>
    <w:rsid w:val="765C6188"/>
    <w:rsid w:val="7674493F"/>
    <w:rsid w:val="76867821"/>
    <w:rsid w:val="769025BE"/>
    <w:rsid w:val="76933951"/>
    <w:rsid w:val="76A0739F"/>
    <w:rsid w:val="76A62555"/>
    <w:rsid w:val="76EE1377"/>
    <w:rsid w:val="77360B20"/>
    <w:rsid w:val="773C7A55"/>
    <w:rsid w:val="77577423"/>
    <w:rsid w:val="775B46D3"/>
    <w:rsid w:val="775D236E"/>
    <w:rsid w:val="775E26AA"/>
    <w:rsid w:val="77622AD1"/>
    <w:rsid w:val="776F0417"/>
    <w:rsid w:val="7783086D"/>
    <w:rsid w:val="77A12BC7"/>
    <w:rsid w:val="77E76573"/>
    <w:rsid w:val="77EB11EC"/>
    <w:rsid w:val="78482013"/>
    <w:rsid w:val="78580435"/>
    <w:rsid w:val="786F5036"/>
    <w:rsid w:val="78737B39"/>
    <w:rsid w:val="78782A0D"/>
    <w:rsid w:val="787D23A1"/>
    <w:rsid w:val="788E3C0A"/>
    <w:rsid w:val="78B0019B"/>
    <w:rsid w:val="78DC6C10"/>
    <w:rsid w:val="790B7034"/>
    <w:rsid w:val="79152523"/>
    <w:rsid w:val="79373C8C"/>
    <w:rsid w:val="793C6626"/>
    <w:rsid w:val="7974166A"/>
    <w:rsid w:val="79751B49"/>
    <w:rsid w:val="79A2171F"/>
    <w:rsid w:val="79A252FF"/>
    <w:rsid w:val="79A77433"/>
    <w:rsid w:val="79A846E0"/>
    <w:rsid w:val="79B226B2"/>
    <w:rsid w:val="79BD64B0"/>
    <w:rsid w:val="79D01864"/>
    <w:rsid w:val="79D33056"/>
    <w:rsid w:val="79DE2D05"/>
    <w:rsid w:val="79E06973"/>
    <w:rsid w:val="79E75272"/>
    <w:rsid w:val="7A1443E1"/>
    <w:rsid w:val="7A352707"/>
    <w:rsid w:val="7A3E61EC"/>
    <w:rsid w:val="7A570B82"/>
    <w:rsid w:val="7A66090A"/>
    <w:rsid w:val="7A751495"/>
    <w:rsid w:val="7A7E6DC2"/>
    <w:rsid w:val="7A8D1E2F"/>
    <w:rsid w:val="7AA33619"/>
    <w:rsid w:val="7AAD2711"/>
    <w:rsid w:val="7AEB7FAB"/>
    <w:rsid w:val="7AF82BB8"/>
    <w:rsid w:val="7AFE5C9A"/>
    <w:rsid w:val="7B7F2180"/>
    <w:rsid w:val="7BBF6A23"/>
    <w:rsid w:val="7BE3738F"/>
    <w:rsid w:val="7BFC4585"/>
    <w:rsid w:val="7C0837C5"/>
    <w:rsid w:val="7C13112D"/>
    <w:rsid w:val="7C26369C"/>
    <w:rsid w:val="7C3B1325"/>
    <w:rsid w:val="7C415FAE"/>
    <w:rsid w:val="7C424420"/>
    <w:rsid w:val="7C4D66BC"/>
    <w:rsid w:val="7C60470D"/>
    <w:rsid w:val="7C7B6933"/>
    <w:rsid w:val="7C9E5A24"/>
    <w:rsid w:val="7CD91CC6"/>
    <w:rsid w:val="7CE34E68"/>
    <w:rsid w:val="7D1A3BEB"/>
    <w:rsid w:val="7D62117D"/>
    <w:rsid w:val="7D622746"/>
    <w:rsid w:val="7D674C13"/>
    <w:rsid w:val="7D6A0CE8"/>
    <w:rsid w:val="7D711BFE"/>
    <w:rsid w:val="7D742E8B"/>
    <w:rsid w:val="7DA87381"/>
    <w:rsid w:val="7DB70969"/>
    <w:rsid w:val="7DB93BA7"/>
    <w:rsid w:val="7DD0425A"/>
    <w:rsid w:val="7DD662DE"/>
    <w:rsid w:val="7DE12542"/>
    <w:rsid w:val="7DF25EC6"/>
    <w:rsid w:val="7DFE7444"/>
    <w:rsid w:val="7E391B44"/>
    <w:rsid w:val="7E3E1EF2"/>
    <w:rsid w:val="7E4135F2"/>
    <w:rsid w:val="7E6D5625"/>
    <w:rsid w:val="7E7E2860"/>
    <w:rsid w:val="7E9147F5"/>
    <w:rsid w:val="7E9E02E6"/>
    <w:rsid w:val="7EA12284"/>
    <w:rsid w:val="7EB32BF9"/>
    <w:rsid w:val="7EC22A59"/>
    <w:rsid w:val="7EDB4BCA"/>
    <w:rsid w:val="7EDC0FA1"/>
    <w:rsid w:val="7EE93956"/>
    <w:rsid w:val="7EF058E0"/>
    <w:rsid w:val="7EF74FC9"/>
    <w:rsid w:val="7F054D7F"/>
    <w:rsid w:val="7F0C0FCD"/>
    <w:rsid w:val="7F134459"/>
    <w:rsid w:val="7F27000D"/>
    <w:rsid w:val="7F4A1CD4"/>
    <w:rsid w:val="7F5065E7"/>
    <w:rsid w:val="7FD24249"/>
    <w:rsid w:val="7FE108E9"/>
    <w:rsid w:val="7FE560E6"/>
    <w:rsid w:val="7FE92D4B"/>
    <w:rsid w:val="7FED39DE"/>
    <w:rsid w:val="7FF47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uiPriority="39" w:qFormat="1"/>
    <w:lsdException w:name="toc 2" w:uiPriority="39" w:qFormat="1"/>
    <w:lsdException w:name="toc 3" w:semiHidden="0" w:qFormat="1"/>
    <w:lsdException w:name="annotation text" w:semiHidden="0" w:uiPriority="0" w:qFormat="1"/>
    <w:lsdException w:name="header" w:uiPriority="0" w:unhideWhenUsed="0" w:qFormat="1"/>
    <w:lsdException w:name="footer" w:qFormat="1"/>
    <w:lsdException w:name="caption" w:qFormat="1"/>
    <w:lsdException w:name="table of figures" w:semiHidden="0" w:qFormat="1"/>
    <w:lsdException w:name="annotation reference"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Strong" w:semiHidden="0" w:unhideWhenUsed="0" w:qFormat="1"/>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D19"/>
    <w:pPr>
      <w:spacing w:beforeLines="50" w:afterLines="50" w:line="259" w:lineRule="auto"/>
      <w:jc w:val="both"/>
    </w:pPr>
    <w:rPr>
      <w:rFonts w:ascii="Times New Roman" w:eastAsia="宋体" w:hAnsi="Times New Roman"/>
      <w:kern w:val="2"/>
      <w:sz w:val="21"/>
    </w:rPr>
  </w:style>
  <w:style w:type="paragraph" w:styleId="Heading1">
    <w:name w:val="heading 1"/>
    <w:basedOn w:val="Normal"/>
    <w:next w:val="Normal"/>
    <w:qFormat/>
    <w:rsid w:val="00634D19"/>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634D19"/>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634D19"/>
    <w:pPr>
      <w:numPr>
        <w:ilvl w:val="2"/>
      </w:numPr>
      <w:spacing w:before="120"/>
      <w:ind w:left="0"/>
      <w:outlineLvl w:val="2"/>
    </w:pPr>
    <w:rPr>
      <w:sz w:val="24"/>
    </w:rPr>
  </w:style>
  <w:style w:type="paragraph" w:styleId="Heading4">
    <w:name w:val="heading 4"/>
    <w:basedOn w:val="Heading3"/>
    <w:next w:val="Normal"/>
    <w:qFormat/>
    <w:rsid w:val="00634D19"/>
    <w:pPr>
      <w:ind w:left="1418" w:hanging="1418"/>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semiHidden/>
    <w:unhideWhenUsed/>
    <w:qFormat/>
    <w:rsid w:val="00634D19"/>
    <w:rPr>
      <w:rFonts w:ascii="Arial" w:eastAsia="SimHei" w:hAnsi="Arial"/>
    </w:rPr>
  </w:style>
  <w:style w:type="paragraph" w:styleId="DocumentMap">
    <w:name w:val="Document Map"/>
    <w:basedOn w:val="Normal"/>
    <w:link w:val="DocumentMapChar"/>
    <w:uiPriority w:val="99"/>
    <w:semiHidden/>
    <w:unhideWhenUsed/>
    <w:qFormat/>
    <w:rsid w:val="00634D19"/>
    <w:pPr>
      <w:spacing w:after="0" w:line="240" w:lineRule="auto"/>
    </w:pPr>
    <w:rPr>
      <w:rFonts w:ascii="Tahoma" w:hAnsi="Tahoma" w:cs="Tahoma"/>
      <w:sz w:val="16"/>
      <w:szCs w:val="16"/>
    </w:rPr>
  </w:style>
  <w:style w:type="paragraph" w:styleId="CommentText">
    <w:name w:val="annotation text"/>
    <w:basedOn w:val="Normal"/>
    <w:link w:val="CommentTextChar"/>
    <w:unhideWhenUsed/>
    <w:qFormat/>
    <w:rsid w:val="00634D19"/>
    <w:pPr>
      <w:jc w:val="left"/>
    </w:pPr>
  </w:style>
  <w:style w:type="paragraph" w:styleId="BodyText">
    <w:name w:val="Body Text"/>
    <w:basedOn w:val="Normal"/>
    <w:qFormat/>
    <w:rsid w:val="00634D19"/>
    <w:pPr>
      <w:spacing w:after="120"/>
    </w:pPr>
    <w:rPr>
      <w:rFonts w:eastAsia="MS Mincho"/>
    </w:rPr>
  </w:style>
  <w:style w:type="paragraph" w:styleId="TOC3">
    <w:name w:val="toc 3"/>
    <w:basedOn w:val="Normal"/>
    <w:next w:val="Normal"/>
    <w:uiPriority w:val="99"/>
    <w:unhideWhenUsed/>
    <w:qFormat/>
    <w:rsid w:val="00634D19"/>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634D19"/>
    <w:pPr>
      <w:spacing w:after="0" w:line="240" w:lineRule="auto"/>
    </w:pPr>
    <w:rPr>
      <w:rFonts w:ascii="Microsoft YaHei UI" w:eastAsia="Microsoft YaHei UI"/>
      <w:sz w:val="18"/>
      <w:szCs w:val="18"/>
    </w:rPr>
  </w:style>
  <w:style w:type="paragraph" w:styleId="Footer">
    <w:name w:val="footer"/>
    <w:basedOn w:val="Normal"/>
    <w:link w:val="FooterChar"/>
    <w:uiPriority w:val="99"/>
    <w:unhideWhenUsed/>
    <w:qFormat/>
    <w:rsid w:val="00634D19"/>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634D19"/>
    <w:rPr>
      <w:rFonts w:eastAsiaTheme="minorEastAsia"/>
      <w:b/>
      <w:i/>
      <w:sz w:val="20"/>
    </w:rPr>
  </w:style>
  <w:style w:type="paragraph" w:styleId="TableofFigures">
    <w:name w:val="table of figures"/>
    <w:basedOn w:val="Normal"/>
    <w:next w:val="Normal"/>
    <w:uiPriority w:val="99"/>
    <w:unhideWhenUsed/>
    <w:qFormat/>
    <w:rsid w:val="00634D19"/>
    <w:pPr>
      <w:ind w:leftChars="200" w:left="200" w:hangingChars="200" w:hanging="200"/>
    </w:pPr>
  </w:style>
  <w:style w:type="paragraph" w:styleId="TOC2">
    <w:name w:val="toc 2"/>
    <w:basedOn w:val="Normal"/>
    <w:next w:val="Normal"/>
    <w:uiPriority w:val="39"/>
    <w:unhideWhenUsed/>
    <w:qFormat/>
    <w:rsid w:val="00634D19"/>
    <w:pPr>
      <w:ind w:leftChars="200" w:left="420"/>
    </w:pPr>
    <w:rPr>
      <w:b/>
      <w:i/>
      <w:sz w:val="20"/>
    </w:rPr>
  </w:style>
  <w:style w:type="paragraph" w:styleId="NormalWeb">
    <w:name w:val="Normal (Web)"/>
    <w:basedOn w:val="Normal"/>
    <w:uiPriority w:val="99"/>
    <w:semiHidden/>
    <w:unhideWhenUsed/>
    <w:qFormat/>
    <w:rsid w:val="00634D19"/>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634D19"/>
    <w:pPr>
      <w:spacing w:line="240" w:lineRule="auto"/>
      <w:jc w:val="both"/>
    </w:pPr>
    <w:rPr>
      <w:b/>
      <w:bCs/>
      <w:sz w:val="20"/>
    </w:rPr>
  </w:style>
  <w:style w:type="table" w:styleId="TableGrid">
    <w:name w:val="Table Grid"/>
    <w:basedOn w:val="TableNormal"/>
    <w:uiPriority w:val="59"/>
    <w:qFormat/>
    <w:rsid w:val="00634D1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634D19"/>
    <w:rPr>
      <w:b/>
    </w:rPr>
  </w:style>
  <w:style w:type="character" w:styleId="Hyperlink">
    <w:name w:val="Hyperlink"/>
    <w:uiPriority w:val="99"/>
    <w:unhideWhenUsed/>
    <w:qFormat/>
    <w:rsid w:val="00634D19"/>
    <w:rPr>
      <w:color w:val="0000FF"/>
      <w:u w:val="single"/>
    </w:rPr>
  </w:style>
  <w:style w:type="character" w:styleId="CommentReference">
    <w:name w:val="annotation reference"/>
    <w:basedOn w:val="DefaultParagraphFont"/>
    <w:uiPriority w:val="99"/>
    <w:semiHidden/>
    <w:unhideWhenUsed/>
    <w:qFormat/>
    <w:rsid w:val="00634D19"/>
    <w:rPr>
      <w:sz w:val="16"/>
      <w:szCs w:val="16"/>
    </w:rPr>
  </w:style>
  <w:style w:type="paragraph" w:customStyle="1" w:styleId="YJ-Proposal">
    <w:name w:val="YJ-Proposal"/>
    <w:basedOn w:val="Normal"/>
    <w:qFormat/>
    <w:rsid w:val="00634D19"/>
    <w:pPr>
      <w:numPr>
        <w:numId w:val="2"/>
      </w:numPr>
    </w:pPr>
    <w:rPr>
      <w:rFonts w:eastAsiaTheme="minorEastAsia"/>
      <w:b/>
      <w:bCs/>
      <w:i/>
      <w:iCs/>
      <w:sz w:val="20"/>
      <w:lang w:val="en-GB" w:eastAsia="en-US"/>
    </w:rPr>
  </w:style>
  <w:style w:type="paragraph" w:customStyle="1" w:styleId="YJ-Observation">
    <w:name w:val="YJ-Observation"/>
    <w:basedOn w:val="YJ-Proposal"/>
    <w:qFormat/>
    <w:rsid w:val="00634D19"/>
    <w:pPr>
      <w:numPr>
        <w:numId w:val="3"/>
      </w:numPr>
      <w:tabs>
        <w:tab w:val="left" w:pos="420"/>
      </w:tabs>
    </w:pPr>
  </w:style>
  <w:style w:type="paragraph" w:customStyle="1" w:styleId="sub-proposal">
    <w:name w:val="sub-proposal"/>
    <w:basedOn w:val="YJ-Proposal"/>
    <w:next w:val="Normal"/>
    <w:qFormat/>
    <w:rsid w:val="00634D19"/>
    <w:pPr>
      <w:numPr>
        <w:numId w:val="4"/>
      </w:numPr>
    </w:pPr>
  </w:style>
  <w:style w:type="paragraph" w:customStyle="1" w:styleId="sub-observation">
    <w:name w:val="sub-observation"/>
    <w:basedOn w:val="sub-proposal"/>
    <w:next w:val="Normal"/>
    <w:qFormat/>
    <w:rsid w:val="00634D19"/>
  </w:style>
  <w:style w:type="paragraph" w:customStyle="1" w:styleId="References">
    <w:name w:val="References"/>
    <w:basedOn w:val="Normal"/>
    <w:qFormat/>
    <w:rsid w:val="00634D19"/>
    <w:pPr>
      <w:numPr>
        <w:numId w:val="5"/>
      </w:numPr>
      <w:spacing w:after="60"/>
    </w:pPr>
    <w:rPr>
      <w:szCs w:val="16"/>
    </w:rPr>
  </w:style>
  <w:style w:type="paragraph" w:styleId="ListParagraph">
    <w:name w:val="List Paragraph"/>
    <w:basedOn w:val="Normal"/>
    <w:uiPriority w:val="34"/>
    <w:qFormat/>
    <w:rsid w:val="00634D19"/>
    <w:pPr>
      <w:spacing w:beforeLines="0" w:after="0" w:line="240" w:lineRule="auto"/>
      <w:ind w:left="720"/>
      <w:contextualSpacing/>
    </w:pPr>
    <w:rPr>
      <w:rFonts w:eastAsia="Times New Roman"/>
      <w:sz w:val="24"/>
      <w:szCs w:val="24"/>
    </w:rPr>
  </w:style>
  <w:style w:type="paragraph" w:customStyle="1" w:styleId="1">
    <w:name w:val="样式1"/>
    <w:basedOn w:val="Normal"/>
    <w:qFormat/>
    <w:rsid w:val="00634D19"/>
  </w:style>
  <w:style w:type="character" w:customStyle="1" w:styleId="BalloonTextChar">
    <w:name w:val="Balloon Text Char"/>
    <w:basedOn w:val="DefaultParagraphFont"/>
    <w:link w:val="BalloonText"/>
    <w:uiPriority w:val="99"/>
    <w:semiHidden/>
    <w:qFormat/>
    <w:rsid w:val="00634D19"/>
    <w:rPr>
      <w:rFonts w:ascii="Microsoft YaHei UI" w:eastAsia="Microsoft YaHei UI"/>
      <w:kern w:val="2"/>
      <w:sz w:val="18"/>
      <w:szCs w:val="18"/>
    </w:rPr>
  </w:style>
  <w:style w:type="paragraph" w:customStyle="1" w:styleId="PL">
    <w:name w:val="PL"/>
    <w:qFormat/>
    <w:rsid w:val="00634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H">
    <w:name w:val="TH"/>
    <w:basedOn w:val="Normal"/>
    <w:qFormat/>
    <w:rsid w:val="00634D19"/>
    <w:pPr>
      <w:keepNext/>
      <w:keepLines/>
      <w:spacing w:before="60"/>
      <w:jc w:val="center"/>
    </w:pPr>
    <w:rPr>
      <w:rFonts w:ascii="Arial" w:hAnsi="Arial"/>
      <w:b/>
      <w:lang w:val="zh-CN"/>
    </w:rPr>
  </w:style>
  <w:style w:type="paragraph" w:customStyle="1" w:styleId="TAH">
    <w:name w:val="TAH"/>
    <w:basedOn w:val="TAC"/>
    <w:qFormat/>
    <w:rsid w:val="00634D19"/>
    <w:rPr>
      <w:b/>
    </w:rPr>
  </w:style>
  <w:style w:type="paragraph" w:customStyle="1" w:styleId="TAC">
    <w:name w:val="TAC"/>
    <w:basedOn w:val="TAL"/>
    <w:qFormat/>
    <w:rsid w:val="00634D19"/>
    <w:pPr>
      <w:jc w:val="center"/>
    </w:pPr>
  </w:style>
  <w:style w:type="paragraph" w:customStyle="1" w:styleId="TAL">
    <w:name w:val="TAL"/>
    <w:basedOn w:val="Normal"/>
    <w:qFormat/>
    <w:rsid w:val="00634D19"/>
    <w:pPr>
      <w:keepNext/>
      <w:keepLines/>
      <w:spacing w:after="0"/>
    </w:pPr>
    <w:rPr>
      <w:rFonts w:ascii="Arial" w:hAnsi="Arial"/>
      <w:sz w:val="18"/>
      <w:lang w:val="zh-CN"/>
    </w:rPr>
  </w:style>
  <w:style w:type="paragraph" w:customStyle="1" w:styleId="B1">
    <w:name w:val="B1"/>
    <w:basedOn w:val="Normal"/>
    <w:qFormat/>
    <w:rsid w:val="00634D19"/>
    <w:pPr>
      <w:ind w:left="568" w:hanging="284"/>
    </w:pPr>
    <w:rPr>
      <w:lang w:val="zh-CN"/>
    </w:rPr>
  </w:style>
  <w:style w:type="paragraph" w:customStyle="1" w:styleId="B2">
    <w:name w:val="B2"/>
    <w:basedOn w:val="Normal"/>
    <w:qFormat/>
    <w:rsid w:val="00634D19"/>
    <w:pPr>
      <w:ind w:left="851" w:hanging="284"/>
    </w:pPr>
    <w:rPr>
      <w:lang w:val="zh-CN"/>
    </w:rPr>
  </w:style>
  <w:style w:type="character" w:customStyle="1" w:styleId="apple-converted-space">
    <w:name w:val="apple-converted-space"/>
    <w:basedOn w:val="DefaultParagraphFont"/>
    <w:qFormat/>
    <w:rsid w:val="00634D19"/>
  </w:style>
  <w:style w:type="character" w:customStyle="1" w:styleId="DocumentMapChar">
    <w:name w:val="Document Map Char"/>
    <w:basedOn w:val="DefaultParagraphFont"/>
    <w:link w:val="DocumentMap"/>
    <w:uiPriority w:val="99"/>
    <w:semiHidden/>
    <w:qFormat/>
    <w:rsid w:val="00634D19"/>
    <w:rPr>
      <w:rFonts w:ascii="Tahoma" w:eastAsia="宋体" w:hAnsi="Tahoma" w:cs="Tahoma"/>
      <w:kern w:val="2"/>
      <w:sz w:val="16"/>
      <w:szCs w:val="16"/>
    </w:rPr>
  </w:style>
  <w:style w:type="character" w:customStyle="1" w:styleId="CommentTextChar">
    <w:name w:val="Comment Text Char"/>
    <w:basedOn w:val="DefaultParagraphFont"/>
    <w:link w:val="CommentText"/>
    <w:qFormat/>
    <w:rsid w:val="00634D19"/>
    <w:rPr>
      <w:rFonts w:eastAsia="宋体"/>
      <w:kern w:val="2"/>
      <w:sz w:val="21"/>
    </w:rPr>
  </w:style>
  <w:style w:type="character" w:customStyle="1" w:styleId="CommentSubjectChar">
    <w:name w:val="Comment Subject Char"/>
    <w:basedOn w:val="CommentTextChar"/>
    <w:link w:val="CommentSubject"/>
    <w:qFormat/>
    <w:rsid w:val="00634D19"/>
  </w:style>
  <w:style w:type="paragraph" w:styleId="Header">
    <w:name w:val="header"/>
    <w:basedOn w:val="Normal"/>
    <w:link w:val="HeaderChar"/>
    <w:semiHidden/>
    <w:qFormat/>
    <w:rsid w:val="005811A3"/>
    <w:pPr>
      <w:tabs>
        <w:tab w:val="center" w:pos="4680"/>
        <w:tab w:val="right" w:pos="9360"/>
      </w:tabs>
      <w:spacing w:after="0" w:line="240" w:lineRule="auto"/>
    </w:pPr>
  </w:style>
  <w:style w:type="character" w:customStyle="1" w:styleId="HeaderChar">
    <w:name w:val="Header Char"/>
    <w:basedOn w:val="DefaultParagraphFont"/>
    <w:link w:val="Header"/>
    <w:semiHidden/>
    <w:rsid w:val="005811A3"/>
    <w:rPr>
      <w:rFonts w:ascii="Times New Roman" w:eastAsia="宋体" w:hAnsi="Times New Roman"/>
      <w:kern w:val="2"/>
      <w:sz w:val="21"/>
    </w:rPr>
  </w:style>
  <w:style w:type="character" w:customStyle="1" w:styleId="FooterChar">
    <w:name w:val="Footer Char"/>
    <w:basedOn w:val="DefaultParagraphFont"/>
    <w:link w:val="Footer"/>
    <w:uiPriority w:val="99"/>
    <w:rsid w:val="005811A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footer" Target="footer1.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8</Pages>
  <Words>3334</Words>
  <Characters>16786</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25</cp:revision>
  <dcterms:created xsi:type="dcterms:W3CDTF">2019-08-15T17:01:00Z</dcterms:created>
  <dcterms:modified xsi:type="dcterms:W3CDTF">2020-05-15T03:16:00Z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